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ECEB" w14:textId="77777777" w:rsidR="00C60AF9" w:rsidRDefault="00C60AF9" w:rsidP="00C60AF9">
      <w:pPr>
        <w:spacing w:after="280"/>
        <w:jc w:val="center"/>
      </w:pPr>
      <w:r>
        <w:rPr>
          <w:noProof/>
          <w:lang w:eastAsia="en-GB"/>
        </w:rPr>
        <w:drawing>
          <wp:inline distT="0" distB="0" distL="0" distR="0" wp14:anchorId="685D92BB" wp14:editId="68D2F0AA">
            <wp:extent cx="1590675" cy="952500"/>
            <wp:effectExtent l="0" t="0" r="9525" b="0"/>
            <wp:docPr id="2" name="Picture 2" descr="Logo for use on white"/>
            <wp:cNvGraphicFramePr/>
            <a:graphic xmlns:a="http://schemas.openxmlformats.org/drawingml/2006/main">
              <a:graphicData uri="http://schemas.openxmlformats.org/drawingml/2006/picture">
                <pic:pic xmlns:pic="http://schemas.openxmlformats.org/drawingml/2006/picture">
                  <pic:nvPicPr>
                    <pic:cNvPr id="2" name="Picture 2" descr="Logo for use on whit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952500"/>
                    </a:xfrm>
                    <a:prstGeom prst="rect">
                      <a:avLst/>
                    </a:prstGeom>
                    <a:noFill/>
                    <a:ln>
                      <a:noFill/>
                    </a:ln>
                  </pic:spPr>
                </pic:pic>
              </a:graphicData>
            </a:graphic>
          </wp:inline>
        </w:drawing>
      </w:r>
      <w:r>
        <w:rPr>
          <w:noProof/>
          <w:lang w:eastAsia="en-GB"/>
        </w:rPr>
        <w:drawing>
          <wp:inline distT="0" distB="0" distL="0" distR="0" wp14:anchorId="7F6796B3" wp14:editId="440D5547">
            <wp:extent cx="1914525" cy="542925"/>
            <wp:effectExtent l="0" t="0" r="9525" b="9525"/>
            <wp:docPr id="3" name="Picture 3" descr="supporting info for use on white.png"/>
            <wp:cNvGraphicFramePr/>
            <a:graphic xmlns:a="http://schemas.openxmlformats.org/drawingml/2006/main">
              <a:graphicData uri="http://schemas.openxmlformats.org/drawingml/2006/picture">
                <pic:pic xmlns:pic="http://schemas.openxmlformats.org/drawingml/2006/picture">
                  <pic:nvPicPr>
                    <pic:cNvPr id="3" name="Picture 3" descr="supporting info for use on white.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p w14:paraId="2AD2CC3D" w14:textId="77777777" w:rsidR="00C60AF9" w:rsidRDefault="00C60AF9" w:rsidP="00C60AF9">
      <w:pPr>
        <w:spacing w:after="280"/>
        <w:rPr>
          <w:b/>
          <w:bCs/>
        </w:rPr>
      </w:pPr>
    </w:p>
    <w:p w14:paraId="73F203F8" w14:textId="3936DE4F" w:rsidR="00C60AF9" w:rsidRPr="008B51A5" w:rsidRDefault="00C60AF9" w:rsidP="00C60AF9">
      <w:pPr>
        <w:spacing w:after="280"/>
        <w:rPr>
          <w:bCs/>
        </w:rPr>
      </w:pPr>
      <w:r>
        <w:rPr>
          <w:b/>
          <w:bCs/>
        </w:rPr>
        <w:t>Employer:</w:t>
      </w:r>
      <w:r>
        <w:rPr>
          <w:b/>
          <w:bCs/>
        </w:rPr>
        <w:tab/>
      </w:r>
      <w:r>
        <w:rPr>
          <w:b/>
          <w:bCs/>
        </w:rPr>
        <w:tab/>
      </w:r>
      <w:r w:rsidR="009E06E8">
        <w:rPr>
          <w:bCs/>
        </w:rPr>
        <w:t>BWC</w:t>
      </w:r>
      <w:r w:rsidR="003B577C">
        <w:rPr>
          <w:bCs/>
        </w:rPr>
        <w:t xml:space="preserve"> (Brighton Women’s Centre)</w:t>
      </w:r>
    </w:p>
    <w:p w14:paraId="268F29B2" w14:textId="2FBC83FB" w:rsidR="00C60AF9" w:rsidRDefault="00C60AF9" w:rsidP="000877A0">
      <w:pPr>
        <w:spacing w:after="280"/>
        <w:ind w:left="2160" w:hanging="2160"/>
      </w:pPr>
      <w:r>
        <w:rPr>
          <w:b/>
          <w:bCs/>
        </w:rPr>
        <w:t>Job Title:  </w:t>
      </w:r>
      <w:r>
        <w:rPr>
          <w:b/>
          <w:bCs/>
        </w:rPr>
        <w:tab/>
      </w:r>
      <w:r>
        <w:rPr>
          <w:bCs/>
        </w:rPr>
        <w:t xml:space="preserve">Women’s </w:t>
      </w:r>
      <w:r w:rsidR="002C5167">
        <w:rPr>
          <w:bCs/>
        </w:rPr>
        <w:t>M</w:t>
      </w:r>
      <w:r w:rsidR="004C5050">
        <w:rPr>
          <w:bCs/>
        </w:rPr>
        <w:t>uscul</w:t>
      </w:r>
      <w:r w:rsidR="0014584E">
        <w:rPr>
          <w:bCs/>
        </w:rPr>
        <w:t>o</w:t>
      </w:r>
      <w:r w:rsidR="00B23046">
        <w:rPr>
          <w:bCs/>
        </w:rPr>
        <w:t>s</w:t>
      </w:r>
      <w:r w:rsidR="004C5050">
        <w:rPr>
          <w:bCs/>
        </w:rPr>
        <w:t>keletal (M</w:t>
      </w:r>
      <w:r w:rsidR="002C5167">
        <w:rPr>
          <w:bCs/>
        </w:rPr>
        <w:t>SK</w:t>
      </w:r>
      <w:r w:rsidR="004C5050">
        <w:rPr>
          <w:bCs/>
        </w:rPr>
        <w:t>)</w:t>
      </w:r>
      <w:r w:rsidR="002C5167">
        <w:rPr>
          <w:bCs/>
        </w:rPr>
        <w:t xml:space="preserve"> Caseworker</w:t>
      </w:r>
      <w:r w:rsidR="00B23046">
        <w:rPr>
          <w:bCs/>
        </w:rPr>
        <w:t>*</w:t>
      </w:r>
    </w:p>
    <w:p w14:paraId="5D3F5B04" w14:textId="75DE30C4" w:rsidR="00C60AF9" w:rsidRPr="00333C50" w:rsidRDefault="00C60AF9" w:rsidP="00C60AF9">
      <w:pPr>
        <w:spacing w:before="280" w:after="280"/>
        <w:rPr>
          <w:bCs/>
        </w:rPr>
      </w:pPr>
      <w:r>
        <w:rPr>
          <w:b/>
          <w:bCs/>
        </w:rPr>
        <w:t>Responsible to:  </w:t>
      </w:r>
      <w:r>
        <w:rPr>
          <w:b/>
          <w:bCs/>
        </w:rPr>
        <w:tab/>
      </w:r>
      <w:r w:rsidR="002C5167" w:rsidRPr="000877A0">
        <w:t>M</w:t>
      </w:r>
      <w:r w:rsidR="002C5167">
        <w:rPr>
          <w:bCs/>
        </w:rPr>
        <w:t xml:space="preserve">SK Senior Practitioner </w:t>
      </w:r>
    </w:p>
    <w:p w14:paraId="54BA3236" w14:textId="3C401671" w:rsidR="00C60AF9" w:rsidRPr="00B47B10" w:rsidRDefault="00C60AF9" w:rsidP="00B47B10">
      <w:pPr>
        <w:spacing w:before="280" w:after="280"/>
        <w:ind w:left="2160" w:hanging="2160"/>
        <w:rPr>
          <w:bCs/>
        </w:rPr>
      </w:pPr>
      <w:r>
        <w:rPr>
          <w:b/>
          <w:bCs/>
        </w:rPr>
        <w:t>Purpose of role</w:t>
      </w:r>
      <w:r w:rsidRPr="0078115B">
        <w:rPr>
          <w:b/>
          <w:bCs/>
        </w:rPr>
        <w:t>: </w:t>
      </w:r>
      <w:r>
        <w:rPr>
          <w:b/>
          <w:bCs/>
        </w:rPr>
        <w:t xml:space="preserve"> </w:t>
      </w:r>
      <w:r>
        <w:rPr>
          <w:b/>
          <w:bCs/>
        </w:rPr>
        <w:tab/>
      </w:r>
      <w:r>
        <w:rPr>
          <w:bCs/>
        </w:rPr>
        <w:t xml:space="preserve">To </w:t>
      </w:r>
      <w:r w:rsidR="00191BAB">
        <w:rPr>
          <w:bCs/>
        </w:rPr>
        <w:t>deliver</w:t>
      </w:r>
      <w:r>
        <w:rPr>
          <w:bCs/>
        </w:rPr>
        <w:t xml:space="preserve"> one</w:t>
      </w:r>
      <w:r w:rsidR="00872B2D">
        <w:rPr>
          <w:bCs/>
        </w:rPr>
        <w:t>-</w:t>
      </w:r>
      <w:r>
        <w:rPr>
          <w:bCs/>
        </w:rPr>
        <w:t>to</w:t>
      </w:r>
      <w:r w:rsidR="00872B2D">
        <w:rPr>
          <w:bCs/>
        </w:rPr>
        <w:t>-</w:t>
      </w:r>
      <w:r>
        <w:rPr>
          <w:bCs/>
        </w:rPr>
        <w:t xml:space="preserve">one </w:t>
      </w:r>
      <w:r w:rsidR="000E4F00">
        <w:rPr>
          <w:bCs/>
        </w:rPr>
        <w:t>trauma</w:t>
      </w:r>
      <w:r w:rsidR="00BC09BF">
        <w:rPr>
          <w:bCs/>
        </w:rPr>
        <w:t>-</w:t>
      </w:r>
      <w:r w:rsidR="000E4F00">
        <w:rPr>
          <w:bCs/>
        </w:rPr>
        <w:t xml:space="preserve">informed, </w:t>
      </w:r>
      <w:r w:rsidR="00191BAB">
        <w:rPr>
          <w:bCs/>
        </w:rPr>
        <w:t xml:space="preserve">holistic </w:t>
      </w:r>
      <w:r>
        <w:rPr>
          <w:bCs/>
        </w:rPr>
        <w:t xml:space="preserve">casework support for </w:t>
      </w:r>
      <w:r w:rsidR="000E4F00">
        <w:rPr>
          <w:bCs/>
        </w:rPr>
        <w:t xml:space="preserve">self-identifying women referred via </w:t>
      </w:r>
      <w:bookmarkStart w:id="0" w:name="_Hlk108086011"/>
      <w:r w:rsidR="000E4F00">
        <w:rPr>
          <w:bCs/>
        </w:rPr>
        <w:t xml:space="preserve">the NHS </w:t>
      </w:r>
      <w:r w:rsidR="001821C3">
        <w:rPr>
          <w:bCs/>
        </w:rPr>
        <w:t xml:space="preserve">Sussex MSK </w:t>
      </w:r>
      <w:r w:rsidR="00BC09BF">
        <w:rPr>
          <w:bCs/>
        </w:rPr>
        <w:t>(muscul</w:t>
      </w:r>
      <w:r w:rsidR="007519F1">
        <w:rPr>
          <w:bCs/>
        </w:rPr>
        <w:t>o</w:t>
      </w:r>
      <w:r w:rsidR="00BC09BF">
        <w:rPr>
          <w:bCs/>
        </w:rPr>
        <w:t xml:space="preserve">skeletal) </w:t>
      </w:r>
      <w:r w:rsidR="001821C3">
        <w:rPr>
          <w:bCs/>
        </w:rPr>
        <w:t xml:space="preserve">Partnership. </w:t>
      </w:r>
    </w:p>
    <w:bookmarkEnd w:id="0"/>
    <w:p w14:paraId="06253084" w14:textId="5C31D3B2" w:rsidR="00C60AF9" w:rsidRDefault="00C60AF9" w:rsidP="00C60AF9">
      <w:pPr>
        <w:spacing w:before="280" w:after="280"/>
        <w:ind w:left="2160" w:hanging="2160"/>
      </w:pPr>
      <w:r>
        <w:rPr>
          <w:b/>
          <w:bCs/>
        </w:rPr>
        <w:t>Working hours: </w:t>
      </w:r>
      <w:r>
        <w:rPr>
          <w:b/>
          <w:bCs/>
        </w:rPr>
        <w:tab/>
      </w:r>
      <w:r w:rsidR="0025082B" w:rsidRPr="0025082B">
        <w:t>14</w:t>
      </w:r>
      <w:r w:rsidR="00374AAC">
        <w:rPr>
          <w:bCs/>
        </w:rPr>
        <w:t xml:space="preserve"> </w:t>
      </w:r>
      <w:r w:rsidRPr="008B51A5">
        <w:rPr>
          <w:bCs/>
        </w:rPr>
        <w:t>hours per week</w:t>
      </w:r>
      <w:r>
        <w:rPr>
          <w:bCs/>
        </w:rPr>
        <w:t xml:space="preserve"> </w:t>
      </w:r>
      <w:r w:rsidRPr="008B51A5">
        <w:rPr>
          <w:bCs/>
        </w:rPr>
        <w:t>within normal office hours 9am – 5pm.</w:t>
      </w:r>
      <w:r>
        <w:rPr>
          <w:b/>
          <w:bCs/>
        </w:rPr>
        <w:t xml:space="preserve"> </w:t>
      </w:r>
      <w:r>
        <w:t>Local travel will be expected</w:t>
      </w:r>
      <w:r w:rsidR="006B53CE">
        <w:t>.</w:t>
      </w:r>
    </w:p>
    <w:p w14:paraId="5BC2E4D5" w14:textId="3E0A7408" w:rsidR="00C60AF9" w:rsidRPr="000877A0" w:rsidRDefault="00C60AF9" w:rsidP="000877A0">
      <w:pPr>
        <w:spacing w:before="280" w:after="280"/>
        <w:ind w:left="2160" w:hanging="2160"/>
        <w:rPr>
          <w:b/>
          <w:bCs/>
        </w:rPr>
      </w:pPr>
      <w:r>
        <w:rPr>
          <w:b/>
          <w:bCs/>
        </w:rPr>
        <w:t>Work locations: </w:t>
      </w:r>
      <w:r>
        <w:rPr>
          <w:b/>
          <w:bCs/>
        </w:rPr>
        <w:tab/>
      </w:r>
      <w:r w:rsidR="000877A0" w:rsidRPr="000877A0">
        <w:t xml:space="preserve">A </w:t>
      </w:r>
      <w:r w:rsidR="00376519">
        <w:t xml:space="preserve">flexible </w:t>
      </w:r>
      <w:r w:rsidR="000877A0" w:rsidRPr="000877A0">
        <w:t xml:space="preserve">mix of remote working from home </w:t>
      </w:r>
      <w:r w:rsidR="00376519">
        <w:t>and</w:t>
      </w:r>
      <w:r w:rsidR="000877A0" w:rsidRPr="000877A0">
        <w:t xml:space="preserve"> face</w:t>
      </w:r>
      <w:r w:rsidR="003B577C">
        <w:t>-</w:t>
      </w:r>
      <w:r w:rsidR="000877A0" w:rsidRPr="000877A0">
        <w:t>to</w:t>
      </w:r>
      <w:r w:rsidR="003B577C">
        <w:t>-</w:t>
      </w:r>
      <w:r w:rsidR="000877A0" w:rsidRPr="000877A0">
        <w:t xml:space="preserve">face work based in agreed locations within Crawley, </w:t>
      </w:r>
      <w:proofErr w:type="gramStart"/>
      <w:r w:rsidR="000877A0" w:rsidRPr="000877A0">
        <w:t>Horsham</w:t>
      </w:r>
      <w:proofErr w:type="gramEnd"/>
      <w:r w:rsidR="000877A0" w:rsidRPr="000877A0">
        <w:t xml:space="preserve"> and Mid-Sussex CCG. </w:t>
      </w:r>
      <w:r w:rsidR="00D8520A" w:rsidRPr="000877A0">
        <w:t>Occasional t</w:t>
      </w:r>
      <w:r w:rsidR="00872B2D" w:rsidRPr="000877A0">
        <w:t xml:space="preserve">ravel to other BWC premises in </w:t>
      </w:r>
      <w:r w:rsidR="003B577C">
        <w:t>Brighton or Eastbourne</w:t>
      </w:r>
      <w:r w:rsidR="00872B2D" w:rsidRPr="000877A0">
        <w:t xml:space="preserve"> </w:t>
      </w:r>
      <w:r w:rsidR="00B46DE0">
        <w:t xml:space="preserve">as </w:t>
      </w:r>
      <w:r w:rsidR="00872B2D" w:rsidRPr="000877A0">
        <w:t>required</w:t>
      </w:r>
      <w:r w:rsidRPr="000877A0">
        <w:t>.</w:t>
      </w:r>
      <w:r>
        <w:rPr>
          <w:b/>
          <w:bCs/>
        </w:rPr>
        <w:t xml:space="preserve"> </w:t>
      </w:r>
      <w:r>
        <w:t> </w:t>
      </w:r>
    </w:p>
    <w:p w14:paraId="5ED1B803" w14:textId="581EA839" w:rsidR="00C60AF9" w:rsidRDefault="00C60AF9" w:rsidP="00C60AF9">
      <w:pPr>
        <w:spacing w:before="280" w:after="280"/>
      </w:pPr>
      <w:r>
        <w:rPr>
          <w:b/>
          <w:bCs/>
        </w:rPr>
        <w:t>Contract Details:   </w:t>
      </w:r>
      <w:r>
        <w:rPr>
          <w:b/>
          <w:bCs/>
        </w:rPr>
        <w:tab/>
      </w:r>
      <w:r w:rsidRPr="008B51A5">
        <w:rPr>
          <w:bCs/>
        </w:rPr>
        <w:t xml:space="preserve">Fixed term until </w:t>
      </w:r>
      <w:r w:rsidR="000877A0">
        <w:rPr>
          <w:bCs/>
        </w:rPr>
        <w:t xml:space="preserve">March 2023 </w:t>
      </w:r>
      <w:r w:rsidR="003B577C">
        <w:rPr>
          <w:bCs/>
        </w:rPr>
        <w:t>with possibility of extension</w:t>
      </w:r>
    </w:p>
    <w:p w14:paraId="69F3D8E1" w14:textId="61E5E25D" w:rsidR="00F426E9" w:rsidRPr="003B577C" w:rsidRDefault="00F426E9" w:rsidP="00C60AF9">
      <w:pPr>
        <w:spacing w:before="280" w:after="280"/>
      </w:pPr>
      <w:r w:rsidRPr="00F426E9">
        <w:rPr>
          <w:b/>
          <w:bCs/>
        </w:rPr>
        <w:t>Salary</w:t>
      </w:r>
      <w:r w:rsidRPr="00F426E9">
        <w:rPr>
          <w:b/>
          <w:bCs/>
        </w:rPr>
        <w:tab/>
      </w:r>
      <w:r w:rsidRPr="00F426E9">
        <w:rPr>
          <w:b/>
          <w:bCs/>
        </w:rPr>
        <w:tab/>
      </w:r>
      <w:r w:rsidR="003B577C">
        <w:t>£1</w:t>
      </w:r>
      <w:r w:rsidR="00607BEA">
        <w:t>0,192 (FTE £25,481)</w:t>
      </w:r>
    </w:p>
    <w:p w14:paraId="2E8D35DD" w14:textId="1669E173" w:rsidR="00C60AF9" w:rsidRDefault="00C60AF9" w:rsidP="00C60AF9">
      <w:pPr>
        <w:spacing w:before="280" w:after="280"/>
        <w:rPr>
          <w:b/>
        </w:rPr>
      </w:pPr>
      <w:r w:rsidRPr="008B51A5">
        <w:rPr>
          <w:b/>
        </w:rPr>
        <w:t xml:space="preserve">Job </w:t>
      </w:r>
      <w:r>
        <w:rPr>
          <w:b/>
        </w:rPr>
        <w:t>Summary</w:t>
      </w:r>
    </w:p>
    <w:p w14:paraId="1EF5D338" w14:textId="632580CF" w:rsidR="003E64DE" w:rsidRDefault="003E64DE" w:rsidP="004960E1">
      <w:pPr>
        <w:spacing w:before="280" w:after="280"/>
        <w:ind w:left="2160" w:hanging="2160"/>
        <w:contextualSpacing/>
      </w:pPr>
      <w:r w:rsidRPr="003E64DE">
        <w:t>The Sussex MSK Partnership is a unique local partnership bringing</w:t>
      </w:r>
    </w:p>
    <w:p w14:paraId="4904D015" w14:textId="77777777" w:rsidR="003E64DE" w:rsidRDefault="003E64DE" w:rsidP="004960E1">
      <w:pPr>
        <w:spacing w:before="280" w:after="280"/>
        <w:ind w:left="2160" w:hanging="2160"/>
        <w:contextualSpacing/>
      </w:pPr>
      <w:r w:rsidRPr="003E64DE">
        <w:t xml:space="preserve">together primary care, specialist musculoskeletal care, </w:t>
      </w:r>
      <w:proofErr w:type="gramStart"/>
      <w:r w:rsidRPr="003E64DE">
        <w:t>community</w:t>
      </w:r>
      <w:proofErr w:type="gramEnd"/>
      <w:r w:rsidRPr="003E64DE">
        <w:t xml:space="preserve"> and mental health</w:t>
      </w:r>
    </w:p>
    <w:p w14:paraId="6B97549A" w14:textId="77777777" w:rsidR="003E64DE" w:rsidRDefault="003E64DE" w:rsidP="004960E1">
      <w:pPr>
        <w:spacing w:before="280" w:after="280"/>
        <w:ind w:left="2160" w:hanging="2160"/>
        <w:contextualSpacing/>
      </w:pPr>
      <w:r w:rsidRPr="003E64DE">
        <w:t>and well-being experts to deliver the whole musculoskeletal service in central</w:t>
      </w:r>
    </w:p>
    <w:p w14:paraId="5B00083D" w14:textId="606DB3CB" w:rsidR="004A28C4" w:rsidRDefault="003E64DE" w:rsidP="004960E1">
      <w:pPr>
        <w:spacing w:before="280" w:after="280"/>
        <w:ind w:left="2160" w:hanging="2160"/>
        <w:contextualSpacing/>
      </w:pPr>
      <w:r w:rsidRPr="003E64DE">
        <w:t>Sussex.</w:t>
      </w:r>
    </w:p>
    <w:p w14:paraId="2C82AF06" w14:textId="77777777" w:rsidR="003E64DE" w:rsidRDefault="003E64DE" w:rsidP="004960E1">
      <w:pPr>
        <w:spacing w:before="280" w:after="280"/>
        <w:ind w:left="2160" w:hanging="2160"/>
        <w:contextualSpacing/>
      </w:pPr>
    </w:p>
    <w:p w14:paraId="47F48C96" w14:textId="1A18859D" w:rsidR="009C2A68" w:rsidRDefault="00BC09BF" w:rsidP="009C2A68">
      <w:pPr>
        <w:spacing w:before="280" w:after="280"/>
        <w:ind w:left="2160" w:hanging="2160"/>
        <w:contextualSpacing/>
      </w:pPr>
      <w:r>
        <w:t xml:space="preserve">BWC’s </w:t>
      </w:r>
      <w:r w:rsidR="006D6F83">
        <w:t xml:space="preserve">MSK </w:t>
      </w:r>
      <w:r w:rsidR="003E64DE">
        <w:t>Caseworker will be supporting women referred from this service who</w:t>
      </w:r>
    </w:p>
    <w:p w14:paraId="4A9B329E" w14:textId="5E5E05DC" w:rsidR="009C2A68" w:rsidRDefault="009C2A68" w:rsidP="009C2A68">
      <w:pPr>
        <w:spacing w:before="280" w:after="280"/>
        <w:ind w:left="2160" w:hanging="2160"/>
        <w:contextualSpacing/>
      </w:pPr>
      <w:r>
        <w:t xml:space="preserve">require </w:t>
      </w:r>
      <w:r w:rsidR="003E64DE">
        <w:t xml:space="preserve">additional practical or emotional support. </w:t>
      </w:r>
      <w:r w:rsidR="00C60AF9">
        <w:t xml:space="preserve">The </w:t>
      </w:r>
      <w:r w:rsidR="00BC09BF">
        <w:t>MSK</w:t>
      </w:r>
      <w:r w:rsidR="00F74485">
        <w:t xml:space="preserve"> </w:t>
      </w:r>
      <w:r w:rsidR="00872B2D">
        <w:t>Caseworker</w:t>
      </w:r>
      <w:r w:rsidR="00C60AF9">
        <w:t xml:space="preserve"> will provide</w:t>
      </w:r>
    </w:p>
    <w:p w14:paraId="16025D7F" w14:textId="77777777" w:rsidR="00A64A43" w:rsidRDefault="00C60AF9" w:rsidP="009C2A68">
      <w:pPr>
        <w:spacing w:before="280" w:after="280"/>
        <w:ind w:left="2160" w:hanging="2160"/>
        <w:contextualSpacing/>
      </w:pPr>
      <w:r>
        <w:t>holistic, integrated casework</w:t>
      </w:r>
      <w:r w:rsidR="00191BAB">
        <w:t xml:space="preserve"> support </w:t>
      </w:r>
      <w:r w:rsidR="00872B2D">
        <w:t>to address a range o</w:t>
      </w:r>
      <w:r w:rsidR="00D66C3A">
        <w:t>f</w:t>
      </w:r>
      <w:r w:rsidR="00A64A43">
        <w:t xml:space="preserve"> </w:t>
      </w:r>
      <w:r w:rsidR="00872B2D">
        <w:t>practical and emotional</w:t>
      </w:r>
    </w:p>
    <w:p w14:paraId="187F4F3F" w14:textId="77777777" w:rsidR="00A64A43" w:rsidRDefault="00872B2D" w:rsidP="00A64A43">
      <w:pPr>
        <w:spacing w:before="280" w:after="280"/>
        <w:ind w:left="2160" w:hanging="2160"/>
        <w:contextualSpacing/>
      </w:pPr>
      <w:r>
        <w:t>needs</w:t>
      </w:r>
      <w:r w:rsidR="00307A68">
        <w:t xml:space="preserve">, including helping with signposting, </w:t>
      </w:r>
      <w:proofErr w:type="gramStart"/>
      <w:r w:rsidR="00307A68">
        <w:t>advocacy</w:t>
      </w:r>
      <w:proofErr w:type="gramEnd"/>
      <w:r w:rsidR="00307A68">
        <w:t xml:space="preserve"> and</w:t>
      </w:r>
      <w:r w:rsidR="00A64A43">
        <w:t xml:space="preserve"> </w:t>
      </w:r>
      <w:r w:rsidR="00307A68">
        <w:t>referrals</w:t>
      </w:r>
      <w:r>
        <w:t>.</w:t>
      </w:r>
      <w:r w:rsidR="00D66C3A">
        <w:t xml:space="preserve"> </w:t>
      </w:r>
      <w:r w:rsidR="00307A68">
        <w:t xml:space="preserve">She </w:t>
      </w:r>
      <w:r w:rsidR="00C60AF9">
        <w:t xml:space="preserve">will </w:t>
      </w:r>
      <w:r w:rsidR="00D8520A">
        <w:t>be</w:t>
      </w:r>
    </w:p>
    <w:p w14:paraId="44B71A57" w14:textId="77777777" w:rsidR="00A64A43" w:rsidRDefault="00D8520A" w:rsidP="00A64A43">
      <w:pPr>
        <w:spacing w:before="280" w:after="280"/>
        <w:ind w:left="2160" w:hanging="2160"/>
        <w:contextualSpacing/>
      </w:pPr>
      <w:r>
        <w:t>informed by BWC’s values, policies and procedures and will</w:t>
      </w:r>
      <w:r w:rsidR="00A64A43">
        <w:t xml:space="preserve"> </w:t>
      </w:r>
      <w:r w:rsidR="00C60AF9">
        <w:t>understand the</w:t>
      </w:r>
    </w:p>
    <w:p w14:paraId="08D3E950" w14:textId="77777777" w:rsidR="00456194" w:rsidRDefault="00C60AF9" w:rsidP="00A64A43">
      <w:pPr>
        <w:spacing w:before="280" w:after="280"/>
        <w:ind w:left="2160" w:hanging="2160"/>
        <w:contextualSpacing/>
      </w:pPr>
      <w:r>
        <w:t xml:space="preserve">importance of building trust and self-esteem </w:t>
      </w:r>
      <w:r w:rsidR="001C0345">
        <w:t xml:space="preserve">with service users, </w:t>
      </w:r>
      <w:r>
        <w:t>to</w:t>
      </w:r>
      <w:r w:rsidR="00A64A43">
        <w:t xml:space="preserve"> </w:t>
      </w:r>
      <w:r>
        <w:t>enhance recovery</w:t>
      </w:r>
    </w:p>
    <w:p w14:paraId="5FA19ED5" w14:textId="44AA4B93" w:rsidR="00D66C3A" w:rsidRDefault="00C60AF9" w:rsidP="00A64A43">
      <w:pPr>
        <w:spacing w:before="280" w:after="280"/>
        <w:ind w:left="2160" w:hanging="2160"/>
        <w:contextualSpacing/>
      </w:pPr>
      <w:r>
        <w:t>and engagement with BWC and other services</w:t>
      </w:r>
      <w:r w:rsidR="00456194">
        <w:t>.</w:t>
      </w:r>
    </w:p>
    <w:p w14:paraId="3A1994C5" w14:textId="77777777" w:rsidR="00456194" w:rsidRDefault="00456194" w:rsidP="00A64A43">
      <w:pPr>
        <w:spacing w:before="280" w:after="280"/>
        <w:ind w:left="2160" w:hanging="2160"/>
        <w:contextualSpacing/>
      </w:pPr>
    </w:p>
    <w:p w14:paraId="68E0F698" w14:textId="77777777" w:rsidR="00C60AF9" w:rsidRDefault="00C60AF9" w:rsidP="00CA5D9F">
      <w:pPr>
        <w:jc w:val="both"/>
        <w:rPr>
          <w:b/>
        </w:rPr>
      </w:pPr>
      <w:r>
        <w:rPr>
          <w:b/>
        </w:rPr>
        <w:t>*This post is exempt under Schedule 9, Part 1 Paragraph 1 of the 2010 Equalities Act and subject to an enhanced level DBS check</w:t>
      </w:r>
    </w:p>
    <w:p w14:paraId="5834ABDF" w14:textId="77777777" w:rsidR="00DD24AD" w:rsidRDefault="00DD24AD" w:rsidP="00CA5D9F">
      <w:pPr>
        <w:spacing w:before="280" w:after="280"/>
        <w:rPr>
          <w:b/>
        </w:rPr>
      </w:pPr>
    </w:p>
    <w:p w14:paraId="20CFF07C" w14:textId="006906C0" w:rsidR="00C60AF9" w:rsidRDefault="00C60AF9" w:rsidP="00CA5D9F">
      <w:pPr>
        <w:spacing w:before="280" w:after="280"/>
        <w:rPr>
          <w:b/>
        </w:rPr>
      </w:pPr>
      <w:r w:rsidRPr="0002438B">
        <w:rPr>
          <w:b/>
        </w:rPr>
        <w:lastRenderedPageBreak/>
        <w:t>Main Duties:</w:t>
      </w:r>
    </w:p>
    <w:p w14:paraId="456A84D6" w14:textId="2995A8EF" w:rsidR="00C60AF9" w:rsidRDefault="001C0345" w:rsidP="00CA5D9F">
      <w:pPr>
        <w:spacing w:before="280" w:after="280"/>
        <w:rPr>
          <w:b/>
        </w:rPr>
      </w:pPr>
      <w:r>
        <w:rPr>
          <w:b/>
        </w:rPr>
        <w:t>O</w:t>
      </w:r>
      <w:r w:rsidR="00C60AF9" w:rsidRPr="00766809">
        <w:rPr>
          <w:b/>
        </w:rPr>
        <w:t>ne</w:t>
      </w:r>
      <w:r w:rsidR="00307A68">
        <w:rPr>
          <w:b/>
        </w:rPr>
        <w:t>-</w:t>
      </w:r>
      <w:r w:rsidR="00C60AF9" w:rsidRPr="00766809">
        <w:rPr>
          <w:b/>
        </w:rPr>
        <w:t>to</w:t>
      </w:r>
      <w:r w:rsidR="00307A68">
        <w:rPr>
          <w:b/>
        </w:rPr>
        <w:t>-</w:t>
      </w:r>
      <w:r w:rsidR="00C60AF9" w:rsidRPr="00766809">
        <w:rPr>
          <w:b/>
        </w:rPr>
        <w:t>one casework</w:t>
      </w:r>
      <w:r>
        <w:rPr>
          <w:b/>
        </w:rPr>
        <w:t xml:space="preserve"> support</w:t>
      </w:r>
    </w:p>
    <w:p w14:paraId="2276D8EA" w14:textId="3EFE38AB" w:rsidR="00C60AF9" w:rsidRDefault="00C60AF9" w:rsidP="00CA5D9F">
      <w:pPr>
        <w:pStyle w:val="ListParagraph"/>
        <w:numPr>
          <w:ilvl w:val="0"/>
          <w:numId w:val="2"/>
        </w:numPr>
        <w:spacing w:before="280" w:after="280"/>
      </w:pPr>
      <w:r>
        <w:t xml:space="preserve">To provide intensive personalised support that is bespoke, holistic and </w:t>
      </w:r>
      <w:r w:rsidR="001C0345">
        <w:t>addresses</w:t>
      </w:r>
      <w:r>
        <w:t xml:space="preserve"> a range of financial, health, social and relationship needs.</w:t>
      </w:r>
    </w:p>
    <w:p w14:paraId="446C5450" w14:textId="77777777" w:rsidR="00C60AF9" w:rsidRDefault="00C60AF9" w:rsidP="00CA5D9F">
      <w:pPr>
        <w:pStyle w:val="ListParagraph"/>
        <w:spacing w:before="280" w:after="280"/>
      </w:pPr>
    </w:p>
    <w:p w14:paraId="7F731F76" w14:textId="4E174E36" w:rsidR="00C60AF9" w:rsidRDefault="00C60AF9" w:rsidP="00CA5D9F">
      <w:pPr>
        <w:pStyle w:val="ListParagraph"/>
        <w:numPr>
          <w:ilvl w:val="0"/>
          <w:numId w:val="2"/>
        </w:numPr>
        <w:spacing w:before="280" w:after="280"/>
        <w:ind w:left="782" w:hanging="357"/>
        <w:contextualSpacing w:val="0"/>
      </w:pPr>
      <w:r>
        <w:t>To adopt a woman</w:t>
      </w:r>
      <w:r w:rsidR="00307A68">
        <w:t>-</w:t>
      </w:r>
      <w:r>
        <w:t>centred</w:t>
      </w:r>
      <w:r w:rsidR="00307A68">
        <w:t>,</w:t>
      </w:r>
      <w:r>
        <w:t xml:space="preserve"> trauma</w:t>
      </w:r>
      <w:r w:rsidR="00307A68">
        <w:t>-</w:t>
      </w:r>
      <w:r>
        <w:t>informed</w:t>
      </w:r>
      <w:r w:rsidR="00307A68">
        <w:t>,</w:t>
      </w:r>
      <w:r>
        <w:t xml:space="preserve"> asset</w:t>
      </w:r>
      <w:r w:rsidR="00307A68">
        <w:t>-</w:t>
      </w:r>
      <w:r>
        <w:t>based approach</w:t>
      </w:r>
      <w:r w:rsidR="00307A68">
        <w:t xml:space="preserve"> that</w:t>
      </w:r>
      <w:r>
        <w:t xml:space="preserve"> recognis</w:t>
      </w:r>
      <w:r w:rsidR="00307A68">
        <w:t>es</w:t>
      </w:r>
      <w:r>
        <w:t xml:space="preserve"> the woman as an expert of her own experiences </w:t>
      </w:r>
      <w:r w:rsidR="00307A68">
        <w:t>–</w:t>
      </w:r>
      <w:r>
        <w:t xml:space="preserve"> referring to and coordinating appropriate support services in accordance with the client</w:t>
      </w:r>
      <w:r w:rsidR="00307A68">
        <w:t>’s</w:t>
      </w:r>
      <w:r>
        <w:t xml:space="preserve"> requests or needs.</w:t>
      </w:r>
    </w:p>
    <w:p w14:paraId="2D3A7791" w14:textId="19E952F1" w:rsidR="00B7614D" w:rsidRDefault="00C60AF9" w:rsidP="00CA5D9F">
      <w:pPr>
        <w:pStyle w:val="ListParagraph"/>
        <w:numPr>
          <w:ilvl w:val="0"/>
          <w:numId w:val="2"/>
        </w:numPr>
        <w:spacing w:before="280" w:after="280"/>
        <w:ind w:left="782" w:hanging="357"/>
        <w:contextualSpacing w:val="0"/>
      </w:pPr>
      <w:r>
        <w:t xml:space="preserve">To coordinate and oversee </w:t>
      </w:r>
      <w:r w:rsidR="00497A75">
        <w:t xml:space="preserve">referrals from </w:t>
      </w:r>
      <w:r w:rsidR="00736BCB">
        <w:t>the Sussex MSK Partnership.</w:t>
      </w:r>
    </w:p>
    <w:p w14:paraId="440903F8" w14:textId="21E6FEBF" w:rsidR="00C60AF9" w:rsidRDefault="00C60AF9" w:rsidP="00CA5D9F">
      <w:pPr>
        <w:pStyle w:val="ListParagraph"/>
        <w:numPr>
          <w:ilvl w:val="0"/>
          <w:numId w:val="2"/>
        </w:numPr>
        <w:spacing w:before="280" w:after="280"/>
      </w:pPr>
      <w:r>
        <w:t xml:space="preserve">To support women </w:t>
      </w:r>
      <w:r w:rsidR="003B6C58">
        <w:t xml:space="preserve">to </w:t>
      </w:r>
      <w:r w:rsidR="00D04517">
        <w:t xml:space="preserve">engage with </w:t>
      </w:r>
      <w:r w:rsidR="001C0345">
        <w:t xml:space="preserve">BWC </w:t>
      </w:r>
      <w:r w:rsidR="00D04517">
        <w:t xml:space="preserve">to </w:t>
      </w:r>
      <w:r>
        <w:t>build their confidence and self-esteem</w:t>
      </w:r>
      <w:r w:rsidR="003B6C58">
        <w:t>,</w:t>
      </w:r>
      <w:r>
        <w:t xml:space="preserve"> enabling them to develop strategies to put control, </w:t>
      </w:r>
      <w:proofErr w:type="gramStart"/>
      <w:r>
        <w:t>direction</w:t>
      </w:r>
      <w:proofErr w:type="gramEnd"/>
      <w:r>
        <w:t xml:space="preserve"> and purpose into their lives within a supported environment</w:t>
      </w:r>
      <w:r w:rsidR="001C0345">
        <w:t>.</w:t>
      </w:r>
    </w:p>
    <w:p w14:paraId="28EA0B59" w14:textId="77777777" w:rsidR="00C60AF9" w:rsidRDefault="00C60AF9" w:rsidP="00CA5D9F">
      <w:pPr>
        <w:pStyle w:val="ListParagraph"/>
        <w:spacing w:before="280" w:after="280"/>
      </w:pPr>
    </w:p>
    <w:p w14:paraId="62E519F3" w14:textId="156DF5B1" w:rsidR="003B6C58" w:rsidRDefault="00C60AF9" w:rsidP="00CA5D9F">
      <w:pPr>
        <w:pStyle w:val="ListParagraph"/>
        <w:numPr>
          <w:ilvl w:val="0"/>
          <w:numId w:val="2"/>
        </w:numPr>
        <w:spacing w:before="280" w:after="280"/>
        <w:ind w:left="782" w:hanging="357"/>
        <w:contextualSpacing w:val="0"/>
      </w:pPr>
      <w:r>
        <w:t xml:space="preserve">To provide information, </w:t>
      </w:r>
      <w:proofErr w:type="gramStart"/>
      <w:r>
        <w:t>advice</w:t>
      </w:r>
      <w:proofErr w:type="gramEnd"/>
      <w:r>
        <w:t xml:space="preserve"> and advocacy to clients across a number of pathway needs</w:t>
      </w:r>
      <w:r w:rsidR="003B6C58">
        <w:t>,</w:t>
      </w:r>
      <w:r>
        <w:t xml:space="preserve"> encompassing signposting and liaison with other services to ensure women can access support with benefits</w:t>
      </w:r>
      <w:r w:rsidR="003B6C58">
        <w:t>;</w:t>
      </w:r>
      <w:r>
        <w:t xml:space="preserve"> </w:t>
      </w:r>
      <w:r w:rsidR="003B6C58">
        <w:t xml:space="preserve">health </w:t>
      </w:r>
      <w:r>
        <w:t>treatment including primary health (GP and Dentist)</w:t>
      </w:r>
      <w:r w:rsidR="004E6A1E">
        <w:t>;</w:t>
      </w:r>
      <w:r>
        <w:t xml:space="preserve"> mental health and drug and alcohol services</w:t>
      </w:r>
      <w:r w:rsidR="003B6C58">
        <w:t>;</w:t>
      </w:r>
      <w:r>
        <w:t xml:space="preserve"> children and adult services</w:t>
      </w:r>
      <w:r w:rsidR="003B6C58">
        <w:t xml:space="preserve"> and others</w:t>
      </w:r>
      <w:r w:rsidR="004E6A1E">
        <w:t>.</w:t>
      </w:r>
    </w:p>
    <w:p w14:paraId="51E0B975" w14:textId="5813A05D" w:rsidR="00C60AF9" w:rsidRPr="00CA5D9F" w:rsidRDefault="003B6C58" w:rsidP="00CA5D9F">
      <w:pPr>
        <w:pStyle w:val="ListParagraph"/>
        <w:numPr>
          <w:ilvl w:val="0"/>
          <w:numId w:val="2"/>
        </w:numPr>
        <w:spacing w:before="280" w:after="280"/>
      </w:pPr>
      <w:r>
        <w:t>To meet women at BWC hubs and breakfast clubs, including supporting colleagues with running these services as required.</w:t>
      </w:r>
    </w:p>
    <w:p w14:paraId="43750112" w14:textId="45CD01A2" w:rsidR="00497A75" w:rsidRPr="001B24C6" w:rsidRDefault="00C60AF9" w:rsidP="00CA5D9F">
      <w:pPr>
        <w:spacing w:before="280" w:after="280"/>
        <w:rPr>
          <w:b/>
        </w:rPr>
      </w:pPr>
      <w:r w:rsidRPr="00917368">
        <w:rPr>
          <w:b/>
        </w:rPr>
        <w:t>Interagency working</w:t>
      </w:r>
    </w:p>
    <w:p w14:paraId="0AA329F2" w14:textId="69CD3BD4" w:rsidR="00C60AF9" w:rsidRDefault="00C60AF9" w:rsidP="00CA5D9F">
      <w:pPr>
        <w:pStyle w:val="ListParagraph"/>
        <w:numPr>
          <w:ilvl w:val="0"/>
          <w:numId w:val="3"/>
        </w:numPr>
        <w:spacing w:before="280" w:after="280"/>
      </w:pPr>
      <w:r>
        <w:t>To develop and maintain up</w:t>
      </w:r>
      <w:r w:rsidR="003B6C58">
        <w:t>-</w:t>
      </w:r>
      <w:r>
        <w:t>to</w:t>
      </w:r>
      <w:r w:rsidR="003B6C58">
        <w:t>-</w:t>
      </w:r>
      <w:r>
        <w:t>date knowledge of services available and communicate this to clients and professionals.</w:t>
      </w:r>
    </w:p>
    <w:p w14:paraId="28A4A658" w14:textId="4AB35858" w:rsidR="00C60AF9" w:rsidRDefault="00BC09BF" w:rsidP="00CA5D9F">
      <w:pPr>
        <w:numPr>
          <w:ilvl w:val="0"/>
          <w:numId w:val="3"/>
        </w:numPr>
        <w:spacing w:before="280" w:after="280"/>
      </w:pPr>
      <w:r>
        <w:t>To d</w:t>
      </w:r>
      <w:r w:rsidR="00C60AF9">
        <w:t>evelop and maintain positive and mutually suppo</w:t>
      </w:r>
      <w:r w:rsidR="00497A75">
        <w:t>rtive</w:t>
      </w:r>
      <w:r w:rsidR="00C60AF9">
        <w:t xml:space="preserve"> relationships </w:t>
      </w:r>
      <w:r w:rsidR="00497A75">
        <w:t xml:space="preserve">with </w:t>
      </w:r>
      <w:r w:rsidR="008F697C">
        <w:t xml:space="preserve">Probation </w:t>
      </w:r>
      <w:r w:rsidR="00C60AF9">
        <w:t xml:space="preserve">and relevant agencies including </w:t>
      </w:r>
      <w:r w:rsidR="00497A75">
        <w:t>Adult social care, children’</w:t>
      </w:r>
      <w:r w:rsidR="003B6C58">
        <w:t>s</w:t>
      </w:r>
      <w:r w:rsidR="00497A75">
        <w:t xml:space="preserve"> services, DWP and VAWG s</w:t>
      </w:r>
      <w:r w:rsidR="00C60AF9">
        <w:t>ervices</w:t>
      </w:r>
      <w:r w:rsidR="00C60AF9" w:rsidRPr="0078115B">
        <w:t xml:space="preserve">.  </w:t>
      </w:r>
    </w:p>
    <w:p w14:paraId="20D74860" w14:textId="08989406" w:rsidR="00C60AF9" w:rsidRPr="00CD4AD8" w:rsidRDefault="00C60AF9" w:rsidP="00CA5D9F">
      <w:pPr>
        <w:spacing w:before="280" w:after="280"/>
        <w:rPr>
          <w:b/>
        </w:rPr>
      </w:pPr>
      <w:r>
        <w:rPr>
          <w:b/>
        </w:rPr>
        <w:t xml:space="preserve">Outputs, </w:t>
      </w:r>
      <w:r w:rsidRPr="00AC2BA9">
        <w:rPr>
          <w:b/>
        </w:rPr>
        <w:t xml:space="preserve">Outcomes and </w:t>
      </w:r>
      <w:r w:rsidR="005C60E0">
        <w:rPr>
          <w:b/>
        </w:rPr>
        <w:t>M</w:t>
      </w:r>
      <w:r w:rsidRPr="00AC2BA9">
        <w:rPr>
          <w:b/>
        </w:rPr>
        <w:t>onitoring</w:t>
      </w:r>
    </w:p>
    <w:p w14:paraId="7E00586C" w14:textId="371D7862" w:rsidR="00C60AF9" w:rsidRDefault="00BC09BF" w:rsidP="00CA5D9F">
      <w:pPr>
        <w:pStyle w:val="ListParagraph"/>
        <w:numPr>
          <w:ilvl w:val="0"/>
          <w:numId w:val="4"/>
        </w:numPr>
        <w:spacing w:before="280" w:after="280"/>
      </w:pPr>
      <w:r>
        <w:t>To e</w:t>
      </w:r>
      <w:r w:rsidR="00C60AF9">
        <w:t>nsure that outputs and outcomes for women are monitored and evaluated in line with agreed outcomes framework</w:t>
      </w:r>
      <w:r w:rsidR="005C60E0">
        <w:t>s</w:t>
      </w:r>
      <w:r w:rsidR="00916526">
        <w:t>.</w:t>
      </w:r>
      <w:r w:rsidR="00C60AF9">
        <w:t xml:space="preserve"> </w:t>
      </w:r>
    </w:p>
    <w:p w14:paraId="6E4D275C" w14:textId="77777777" w:rsidR="00C60AF9" w:rsidRDefault="00C60AF9" w:rsidP="00CA5D9F">
      <w:pPr>
        <w:pStyle w:val="ListParagraph"/>
        <w:spacing w:before="280" w:after="280"/>
      </w:pPr>
    </w:p>
    <w:p w14:paraId="0272FCE6" w14:textId="3BE0CC87" w:rsidR="005C60E0" w:rsidRDefault="00BC09BF" w:rsidP="00CA5D9F">
      <w:pPr>
        <w:pStyle w:val="ListParagraph"/>
        <w:numPr>
          <w:ilvl w:val="0"/>
          <w:numId w:val="4"/>
        </w:numPr>
        <w:spacing w:before="280" w:after="280"/>
      </w:pPr>
      <w:r>
        <w:t>To m</w:t>
      </w:r>
      <w:r w:rsidR="00C60AF9">
        <w:t xml:space="preserve">aintain and update clear and accurate written and computer records of </w:t>
      </w:r>
      <w:r w:rsidR="00497A75">
        <w:t xml:space="preserve">all interventions, </w:t>
      </w:r>
      <w:r w:rsidR="00C60AF9">
        <w:t xml:space="preserve">complete </w:t>
      </w:r>
      <w:proofErr w:type="gramStart"/>
      <w:r w:rsidR="00C60AF9">
        <w:t>monitoring</w:t>
      </w:r>
      <w:proofErr w:type="gramEnd"/>
      <w:r w:rsidR="00C60AF9">
        <w:t xml:space="preserve"> an</w:t>
      </w:r>
      <w:r w:rsidR="008F697C">
        <w:t xml:space="preserve">d reports on the BWC database. </w:t>
      </w:r>
    </w:p>
    <w:p w14:paraId="70D3114E" w14:textId="77777777" w:rsidR="005C60E0" w:rsidRDefault="005C60E0" w:rsidP="00CA5D9F">
      <w:pPr>
        <w:pStyle w:val="ListParagraph"/>
        <w:spacing w:before="280" w:after="280"/>
      </w:pPr>
    </w:p>
    <w:p w14:paraId="4C6DC410" w14:textId="7D000331" w:rsidR="00C60AF9" w:rsidRDefault="00BC09BF" w:rsidP="00CA5D9F">
      <w:pPr>
        <w:pStyle w:val="ListParagraph"/>
        <w:numPr>
          <w:ilvl w:val="0"/>
          <w:numId w:val="4"/>
        </w:numPr>
        <w:spacing w:before="280" w:after="280"/>
      </w:pPr>
      <w:r>
        <w:t>To p</w:t>
      </w:r>
      <w:r w:rsidR="00C60AF9">
        <w:t>repare reports, information and data as required</w:t>
      </w:r>
      <w:r w:rsidR="008F697C">
        <w:t>.</w:t>
      </w:r>
    </w:p>
    <w:p w14:paraId="2A0773BA" w14:textId="77777777" w:rsidR="00C60AF9" w:rsidRDefault="00C60AF9" w:rsidP="00CA5D9F">
      <w:pPr>
        <w:pStyle w:val="ListParagraph"/>
        <w:spacing w:before="280" w:after="280"/>
      </w:pPr>
    </w:p>
    <w:p w14:paraId="17018105" w14:textId="56D998B0" w:rsidR="00DC4EFD" w:rsidRPr="00653ED2" w:rsidRDefault="00BC09BF" w:rsidP="00CA5D9F">
      <w:pPr>
        <w:pStyle w:val="ListParagraph"/>
        <w:numPr>
          <w:ilvl w:val="0"/>
          <w:numId w:val="4"/>
        </w:numPr>
        <w:spacing w:before="280" w:after="280"/>
        <w:rPr>
          <w:b/>
        </w:rPr>
      </w:pPr>
      <w:r>
        <w:t>To u</w:t>
      </w:r>
      <w:r w:rsidR="00C60AF9">
        <w:t>se a range of qualitative and quantitative tools to monitor clients journey including: the Short Warwick Edinburgh Mental Well Being Sca</w:t>
      </w:r>
      <w:r w:rsidR="000B4EA7">
        <w:t>le (SWEMWBS),</w:t>
      </w:r>
      <w:r w:rsidR="00C60AF9">
        <w:t xml:space="preserve"> </w:t>
      </w:r>
      <w:r w:rsidR="00DC4EFD">
        <w:t>Outcomes star and others.</w:t>
      </w:r>
    </w:p>
    <w:p w14:paraId="249E4637" w14:textId="77777777" w:rsidR="00C60AF9" w:rsidRPr="00AC2BA9" w:rsidRDefault="00C60AF9" w:rsidP="00C60AF9">
      <w:pPr>
        <w:spacing w:before="280" w:after="280"/>
        <w:rPr>
          <w:b/>
        </w:rPr>
      </w:pPr>
      <w:r w:rsidRPr="00AC2BA9">
        <w:rPr>
          <w:b/>
        </w:rPr>
        <w:lastRenderedPageBreak/>
        <w:t>General</w:t>
      </w:r>
    </w:p>
    <w:p w14:paraId="66F88225" w14:textId="1145ED3B" w:rsidR="00C60AF9" w:rsidRDefault="00C60AF9" w:rsidP="00C60AF9">
      <w:pPr>
        <w:numPr>
          <w:ilvl w:val="0"/>
          <w:numId w:val="1"/>
        </w:numPr>
        <w:spacing w:before="280" w:after="280"/>
      </w:pPr>
      <w:r>
        <w:t xml:space="preserve">To </w:t>
      </w:r>
      <w:r w:rsidR="00811F06">
        <w:t>work independently, both based in BWC offices/spaces, from home</w:t>
      </w:r>
      <w:r w:rsidR="00DC4EFD">
        <w:t xml:space="preserve"> </w:t>
      </w:r>
      <w:r>
        <w:t>and co-located within other organisations</w:t>
      </w:r>
      <w:r w:rsidR="00811F06">
        <w:t>.</w:t>
      </w:r>
    </w:p>
    <w:p w14:paraId="3D87D423" w14:textId="60055678" w:rsidR="00C60AF9" w:rsidRPr="006B2CA6" w:rsidRDefault="000C5E8C" w:rsidP="00C60AF9">
      <w:pPr>
        <w:numPr>
          <w:ilvl w:val="0"/>
          <w:numId w:val="1"/>
        </w:numPr>
        <w:spacing w:before="280" w:after="280"/>
      </w:pPr>
      <w:r>
        <w:t>To w</w:t>
      </w:r>
      <w:r w:rsidR="00C60AF9">
        <w:t>ork within and abide by the organisation</w:t>
      </w:r>
      <w:r w:rsidR="00F03A82">
        <w:t>’</w:t>
      </w:r>
      <w:r w:rsidR="00C60AF9">
        <w:t xml:space="preserve">s </w:t>
      </w:r>
      <w:r w:rsidR="001066A7">
        <w:t xml:space="preserve">policies on </w:t>
      </w:r>
      <w:r w:rsidR="00C60AF9">
        <w:t xml:space="preserve">Health and Safety, Confidentiality, Equalities, </w:t>
      </w:r>
      <w:r w:rsidR="00F03A82">
        <w:t>O</w:t>
      </w:r>
      <w:r w:rsidR="00C60AF9">
        <w:t xml:space="preserve">utreach, </w:t>
      </w:r>
      <w:r w:rsidR="001F614C">
        <w:t>L</w:t>
      </w:r>
      <w:r w:rsidR="00C60AF9">
        <w:t xml:space="preserve">one </w:t>
      </w:r>
      <w:r w:rsidR="001F614C">
        <w:t>W</w:t>
      </w:r>
      <w:r w:rsidR="00C60AF9">
        <w:t>ork</w:t>
      </w:r>
      <w:r w:rsidR="001066A7">
        <w:t>ing</w:t>
      </w:r>
      <w:r w:rsidR="00C60AF9">
        <w:t xml:space="preserve"> and all other relevant policies and protocols</w:t>
      </w:r>
      <w:r w:rsidR="00DC4EFD">
        <w:t xml:space="preserve">. </w:t>
      </w:r>
      <w:r w:rsidR="00C60AF9">
        <w:t>Given</w:t>
      </w:r>
      <w:r w:rsidR="00811F06">
        <w:t xml:space="preserve"> the</w:t>
      </w:r>
      <w:r w:rsidR="00C60AF9">
        <w:t xml:space="preserve"> high level of risk presented by this client group</w:t>
      </w:r>
      <w:r w:rsidR="00811F06">
        <w:t>,</w:t>
      </w:r>
      <w:r w:rsidR="00C60AF9">
        <w:t xml:space="preserve"> particular attention to be given to </w:t>
      </w:r>
      <w:r w:rsidR="001066A7">
        <w:t>A</w:t>
      </w:r>
      <w:r w:rsidR="00C60AF9">
        <w:t xml:space="preserve">dult and </w:t>
      </w:r>
      <w:r w:rsidR="001066A7">
        <w:t>C</w:t>
      </w:r>
      <w:r w:rsidR="00C60AF9">
        <w:t xml:space="preserve">hild </w:t>
      </w:r>
      <w:r w:rsidR="001066A7">
        <w:t>S</w:t>
      </w:r>
      <w:r w:rsidR="00C60AF9">
        <w:t>afeguarding</w:t>
      </w:r>
      <w:r w:rsidR="00811F06">
        <w:t xml:space="preserve"> policies and procedures.</w:t>
      </w:r>
    </w:p>
    <w:p w14:paraId="1EE221E0" w14:textId="77777777" w:rsidR="00C60AF9" w:rsidRDefault="00C60AF9" w:rsidP="00C60AF9">
      <w:pPr>
        <w:numPr>
          <w:ilvl w:val="0"/>
          <w:numId w:val="1"/>
        </w:numPr>
        <w:suppressAutoHyphens w:val="0"/>
      </w:pPr>
      <w:r w:rsidRPr="00972D39">
        <w:t>To maintain the confidentiality and boundaries of the service and of BWC.</w:t>
      </w:r>
    </w:p>
    <w:p w14:paraId="643A5C13" w14:textId="77777777" w:rsidR="00C60AF9" w:rsidRPr="00E46CE7" w:rsidRDefault="00C60AF9" w:rsidP="00C60AF9"/>
    <w:p w14:paraId="2DEB2C9B" w14:textId="71E1E095" w:rsidR="00C60AF9" w:rsidRDefault="00C60AF9" w:rsidP="00C60AF9">
      <w:pPr>
        <w:numPr>
          <w:ilvl w:val="0"/>
          <w:numId w:val="1"/>
        </w:numPr>
        <w:suppressAutoHyphens w:val="0"/>
        <w:spacing w:after="120"/>
      </w:pPr>
      <w:r w:rsidRPr="00972D39">
        <w:t>To identify own development needs and training opportunities</w:t>
      </w:r>
      <w:r w:rsidR="001169D9">
        <w:t>.</w:t>
      </w:r>
    </w:p>
    <w:p w14:paraId="4FC67BD3" w14:textId="7E73FCD6" w:rsidR="00C60AF9" w:rsidRDefault="00C60AF9" w:rsidP="00811F06">
      <w:pPr>
        <w:numPr>
          <w:ilvl w:val="0"/>
          <w:numId w:val="1"/>
        </w:numPr>
        <w:spacing w:before="280" w:after="280"/>
      </w:pPr>
      <w:r>
        <w:t>To participate in monthly managerial and clinical Supervision</w:t>
      </w:r>
      <w:r w:rsidR="00B47B10">
        <w:t>,</w:t>
      </w:r>
      <w:r>
        <w:t xml:space="preserve"> monthly team meetings and reflective practice sessions at BWC</w:t>
      </w:r>
      <w:r w:rsidR="001169D9">
        <w:t>.</w:t>
      </w:r>
    </w:p>
    <w:p w14:paraId="0C893AD4" w14:textId="19DCC27F" w:rsidR="00C60AF9" w:rsidRPr="00916D46" w:rsidRDefault="00C60AF9" w:rsidP="00C60AF9">
      <w:pPr>
        <w:numPr>
          <w:ilvl w:val="0"/>
          <w:numId w:val="1"/>
        </w:numPr>
        <w:spacing w:before="280" w:after="280"/>
      </w:pPr>
      <w:r>
        <w:t xml:space="preserve">To </w:t>
      </w:r>
      <w:r w:rsidR="001169D9">
        <w:t>u</w:t>
      </w:r>
      <w:r>
        <w:t>ndertake all the necessary administration including the completion of TOIL and time sheets and answering correspondence.</w:t>
      </w:r>
    </w:p>
    <w:p w14:paraId="07A27D15" w14:textId="36909074" w:rsidR="00C60AF9" w:rsidRDefault="00C60AF9" w:rsidP="00C60AF9">
      <w:pPr>
        <w:spacing w:before="280" w:after="280"/>
      </w:pPr>
      <w: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w:t>
      </w:r>
    </w:p>
    <w:p w14:paraId="7FA54C97" w14:textId="77777777" w:rsidR="00C60AF9" w:rsidRDefault="00C60AF9" w:rsidP="00C60AF9">
      <w:pPr>
        <w:pStyle w:val="BodyText1"/>
        <w:jc w:val="left"/>
        <w:rPr>
          <w:rFonts w:ascii="Arial" w:hAnsi="Arial" w:cs="Arial"/>
          <w:i/>
          <w:iCs/>
          <w:sz w:val="24"/>
          <w:szCs w:val="24"/>
        </w:rPr>
      </w:pPr>
      <w:r>
        <w:rPr>
          <w:rFonts w:ascii="Arial" w:hAnsi="Arial" w:cs="Arial"/>
          <w:i/>
          <w:iCs/>
          <w:sz w:val="24"/>
          <w:szCs w:val="24"/>
        </w:rPr>
        <w:t xml:space="preserve">BWC periodically reviews job descriptions to ensure that they reflect the requirements of the role as the service develops.   </w:t>
      </w:r>
    </w:p>
    <w:p w14:paraId="03784561" w14:textId="77777777" w:rsidR="00C60AF9" w:rsidRDefault="00C60AF9" w:rsidP="00C60AF9">
      <w:pPr>
        <w:ind w:left="1389"/>
        <w:rPr>
          <w:i/>
          <w:iCs/>
        </w:rPr>
      </w:pPr>
    </w:p>
    <w:p w14:paraId="380A4BEB" w14:textId="77777777" w:rsidR="00C60AF9" w:rsidRDefault="00C60AF9" w:rsidP="00C60AF9">
      <w:pPr>
        <w:rPr>
          <w:i/>
          <w:iCs/>
        </w:rPr>
      </w:pPr>
      <w:r>
        <w:rPr>
          <w:i/>
          <w:iCs/>
        </w:rPr>
        <w:t xml:space="preserve">Probationary period: All posts within Brighton Women’s Centre are subject to a </w:t>
      </w:r>
      <w:proofErr w:type="gramStart"/>
      <w:r>
        <w:rPr>
          <w:i/>
          <w:iCs/>
        </w:rPr>
        <w:t>three month</w:t>
      </w:r>
      <w:proofErr w:type="gramEnd"/>
      <w:r>
        <w:rPr>
          <w:i/>
          <w:iCs/>
        </w:rPr>
        <w:t xml:space="preserve"> probationary period. </w:t>
      </w:r>
    </w:p>
    <w:p w14:paraId="7E0F3A41" w14:textId="77777777" w:rsidR="00C60AF9" w:rsidRDefault="00C60AF9" w:rsidP="00C60AF9">
      <w:pPr>
        <w:ind w:left="1389"/>
        <w:rPr>
          <w:i/>
          <w:iCs/>
        </w:rPr>
      </w:pPr>
    </w:p>
    <w:p w14:paraId="0C709754" w14:textId="683ACB9C" w:rsidR="001169D9" w:rsidRPr="001169D9" w:rsidRDefault="00C60AF9" w:rsidP="00C60AF9">
      <w:pPr>
        <w:rPr>
          <w:sz w:val="20"/>
          <w:szCs w:val="20"/>
          <w:lang w:val="en-US"/>
        </w:rPr>
      </w:pPr>
      <w:r w:rsidRPr="00094DDE">
        <w:rPr>
          <w:i/>
          <w:iCs/>
          <w:lang w:val="en-US"/>
        </w:rPr>
        <w:t xml:space="preserve">This post is exempt from the Rehabilitation of Offenders Act (1974) as it involves access to vulnerable adults and/or children and successful applicants will be required to undertake an enhanced level Disclosure &amp; Barring Service Check.  Applicants must be prepared to disclose any convictions they may have and any orders, which have been made against them. Our </w:t>
      </w:r>
      <w:proofErr w:type="spellStart"/>
      <w:r w:rsidRPr="00094DDE">
        <w:rPr>
          <w:i/>
          <w:iCs/>
          <w:lang w:val="en-US"/>
        </w:rPr>
        <w:t>organisation</w:t>
      </w:r>
      <w:proofErr w:type="spellEnd"/>
      <w:r w:rsidRPr="00094DDE">
        <w:rPr>
          <w:i/>
          <w:iCs/>
          <w:lang w:val="en-US"/>
        </w:rPr>
        <w:t xml:space="preserve"> is committed to safeguarding and promoting the welfare of children and expects all staff and volunteers to share this commitment.</w:t>
      </w:r>
    </w:p>
    <w:p w14:paraId="09CBA422" w14:textId="77777777" w:rsidR="00C60AF9" w:rsidRDefault="00C60AF9" w:rsidP="00C60AF9">
      <w:pPr>
        <w:rPr>
          <w:b/>
        </w:rPr>
      </w:pPr>
    </w:p>
    <w:p w14:paraId="32E28C4B" w14:textId="77777777" w:rsidR="006753E6" w:rsidRDefault="006753E6" w:rsidP="00C60AF9">
      <w:pPr>
        <w:rPr>
          <w:b/>
        </w:rPr>
      </w:pPr>
    </w:p>
    <w:p w14:paraId="72EE0435" w14:textId="77777777" w:rsidR="00CA5D9F" w:rsidRDefault="00CA5D9F" w:rsidP="00C60AF9">
      <w:pPr>
        <w:rPr>
          <w:b/>
        </w:rPr>
      </w:pPr>
    </w:p>
    <w:p w14:paraId="7F4F4B81" w14:textId="77777777" w:rsidR="00CA5D9F" w:rsidRDefault="00CA5D9F" w:rsidP="00C60AF9">
      <w:pPr>
        <w:rPr>
          <w:b/>
        </w:rPr>
      </w:pPr>
    </w:p>
    <w:p w14:paraId="2C7EC649" w14:textId="77777777" w:rsidR="00456194" w:rsidRDefault="00456194" w:rsidP="00C60AF9">
      <w:pPr>
        <w:rPr>
          <w:b/>
        </w:rPr>
      </w:pPr>
    </w:p>
    <w:p w14:paraId="3CDFC52F" w14:textId="77777777" w:rsidR="00456194" w:rsidRDefault="00456194" w:rsidP="00C60AF9">
      <w:pPr>
        <w:rPr>
          <w:b/>
        </w:rPr>
      </w:pPr>
    </w:p>
    <w:p w14:paraId="5E7E9989" w14:textId="77777777" w:rsidR="00456194" w:rsidRDefault="00456194" w:rsidP="00C60AF9">
      <w:pPr>
        <w:rPr>
          <w:b/>
        </w:rPr>
      </w:pPr>
    </w:p>
    <w:p w14:paraId="3ADA46C6" w14:textId="77777777" w:rsidR="00456194" w:rsidRDefault="00456194" w:rsidP="00C60AF9">
      <w:pPr>
        <w:rPr>
          <w:b/>
        </w:rPr>
      </w:pPr>
    </w:p>
    <w:p w14:paraId="3943685F" w14:textId="77777777" w:rsidR="00CA5D9F" w:rsidRDefault="00CA5D9F" w:rsidP="00C60AF9">
      <w:pPr>
        <w:rPr>
          <w:b/>
        </w:rPr>
      </w:pPr>
    </w:p>
    <w:p w14:paraId="49EA1FE0" w14:textId="77777777" w:rsidR="00CA5D9F" w:rsidRDefault="00CA5D9F" w:rsidP="00C60AF9">
      <w:pPr>
        <w:rPr>
          <w:b/>
        </w:rPr>
      </w:pPr>
    </w:p>
    <w:p w14:paraId="64B1014F" w14:textId="77777777" w:rsidR="00CA5D9F" w:rsidRDefault="00CA5D9F" w:rsidP="00C60AF9">
      <w:pPr>
        <w:rPr>
          <w:b/>
        </w:rPr>
      </w:pPr>
    </w:p>
    <w:p w14:paraId="5FCB6DD4" w14:textId="77D2FB62" w:rsidR="00C60AF9" w:rsidRDefault="00C60AF9" w:rsidP="00C60AF9">
      <w:pPr>
        <w:rPr>
          <w:b/>
        </w:rPr>
      </w:pPr>
      <w:r w:rsidRPr="007C011A">
        <w:rPr>
          <w:b/>
        </w:rPr>
        <w:lastRenderedPageBreak/>
        <w:t>Person specification: BWC</w:t>
      </w:r>
      <w:r>
        <w:rPr>
          <w:b/>
        </w:rPr>
        <w:t xml:space="preserve"> </w:t>
      </w:r>
      <w:r w:rsidR="000B4EA7">
        <w:rPr>
          <w:b/>
        </w:rPr>
        <w:t xml:space="preserve">Inspire </w:t>
      </w:r>
      <w:r w:rsidR="001169D9">
        <w:rPr>
          <w:b/>
        </w:rPr>
        <w:t>Caseworker (West Sussex)</w:t>
      </w:r>
    </w:p>
    <w:p w14:paraId="2B614B12" w14:textId="77777777" w:rsidR="001169D9" w:rsidRPr="007C011A" w:rsidRDefault="001169D9" w:rsidP="00C60AF9">
      <w:pPr>
        <w:rPr>
          <w:b/>
        </w:rPr>
      </w:pPr>
    </w:p>
    <w:tbl>
      <w:tblPr>
        <w:tblStyle w:val="TableGrid"/>
        <w:tblW w:w="9464" w:type="dxa"/>
        <w:tblLook w:val="04A0" w:firstRow="1" w:lastRow="0" w:firstColumn="1" w:lastColumn="0" w:noHBand="0" w:noVBand="1"/>
      </w:tblPr>
      <w:tblGrid>
        <w:gridCol w:w="7763"/>
        <w:gridCol w:w="1701"/>
      </w:tblGrid>
      <w:tr w:rsidR="00C60AF9" w:rsidRPr="007C011A" w14:paraId="166BC55C" w14:textId="77777777" w:rsidTr="00CE69C1">
        <w:tc>
          <w:tcPr>
            <w:tcW w:w="7763" w:type="dxa"/>
          </w:tcPr>
          <w:p w14:paraId="1A413B9B" w14:textId="77777777" w:rsidR="00C60AF9" w:rsidRPr="007C011A" w:rsidRDefault="00C60AF9" w:rsidP="00CE69C1">
            <w:pPr>
              <w:rPr>
                <w:b/>
              </w:rPr>
            </w:pPr>
            <w:r w:rsidRPr="007C011A">
              <w:rPr>
                <w:b/>
              </w:rPr>
              <w:t xml:space="preserve">Experience </w:t>
            </w:r>
          </w:p>
        </w:tc>
        <w:tc>
          <w:tcPr>
            <w:tcW w:w="1701" w:type="dxa"/>
          </w:tcPr>
          <w:p w14:paraId="539857C3" w14:textId="77777777" w:rsidR="00C60AF9" w:rsidRPr="007C011A" w:rsidRDefault="00C60AF9" w:rsidP="00CE69C1"/>
        </w:tc>
      </w:tr>
      <w:tr w:rsidR="00C60AF9" w:rsidRPr="007C011A" w14:paraId="46949013" w14:textId="77777777" w:rsidTr="00CE69C1">
        <w:tc>
          <w:tcPr>
            <w:tcW w:w="7763" w:type="dxa"/>
          </w:tcPr>
          <w:p w14:paraId="3F7F1504" w14:textId="7716D526" w:rsidR="00C60AF9" w:rsidRPr="007C011A" w:rsidRDefault="00C60AF9" w:rsidP="00CE69C1">
            <w:pPr>
              <w:pStyle w:val="ListParagraph"/>
              <w:numPr>
                <w:ilvl w:val="0"/>
                <w:numId w:val="5"/>
              </w:numPr>
              <w:suppressAutoHyphens w:val="0"/>
            </w:pPr>
            <w:r>
              <w:t>At least two years</w:t>
            </w:r>
            <w:r w:rsidR="001169D9">
              <w:t>’</w:t>
            </w:r>
            <w:r>
              <w:t xml:space="preserve"> </w:t>
            </w:r>
            <w:r w:rsidRPr="007C011A">
              <w:t>experience of working with women with multiple complex needs (MCN)</w:t>
            </w:r>
            <w:r>
              <w:t xml:space="preserve"> </w:t>
            </w:r>
          </w:p>
        </w:tc>
        <w:tc>
          <w:tcPr>
            <w:tcW w:w="1701" w:type="dxa"/>
          </w:tcPr>
          <w:p w14:paraId="095615F2" w14:textId="77777777" w:rsidR="00C60AF9" w:rsidRPr="007C011A" w:rsidRDefault="00C60AF9" w:rsidP="00CE69C1">
            <w:r w:rsidRPr="007C011A">
              <w:t>E</w:t>
            </w:r>
          </w:p>
        </w:tc>
      </w:tr>
      <w:tr w:rsidR="00C60AF9" w:rsidRPr="007C011A" w14:paraId="4A1BD8DE" w14:textId="77777777" w:rsidTr="00CE69C1">
        <w:tc>
          <w:tcPr>
            <w:tcW w:w="7763" w:type="dxa"/>
          </w:tcPr>
          <w:p w14:paraId="47B79261" w14:textId="77777777" w:rsidR="00C60AF9" w:rsidRPr="007C011A" w:rsidRDefault="00C60AF9" w:rsidP="00CE69C1">
            <w:pPr>
              <w:pStyle w:val="ListParagraph"/>
              <w:numPr>
                <w:ilvl w:val="0"/>
                <w:numId w:val="5"/>
              </w:numPr>
              <w:suppressAutoHyphens w:val="0"/>
            </w:pPr>
            <w:r w:rsidRPr="007C011A">
              <w:t xml:space="preserve">Experience of </w:t>
            </w:r>
            <w:r>
              <w:t>using</w:t>
            </w:r>
            <w:r w:rsidRPr="007C011A">
              <w:t xml:space="preserve"> needs and risk assessments and using risk management tools and resources</w:t>
            </w:r>
          </w:p>
        </w:tc>
        <w:tc>
          <w:tcPr>
            <w:tcW w:w="1701" w:type="dxa"/>
          </w:tcPr>
          <w:p w14:paraId="687776F7" w14:textId="77777777" w:rsidR="00C60AF9" w:rsidRPr="007C011A" w:rsidRDefault="00C60AF9" w:rsidP="00CE69C1">
            <w:r w:rsidRPr="007C011A">
              <w:t>E</w:t>
            </w:r>
          </w:p>
        </w:tc>
      </w:tr>
      <w:tr w:rsidR="00C60AF9" w:rsidRPr="007C011A" w14:paraId="6E2674BB" w14:textId="77777777" w:rsidTr="00CE69C1">
        <w:tc>
          <w:tcPr>
            <w:tcW w:w="7763" w:type="dxa"/>
          </w:tcPr>
          <w:p w14:paraId="295B8F25" w14:textId="77777777" w:rsidR="00C60AF9" w:rsidRPr="007C011A" w:rsidRDefault="00C60AF9" w:rsidP="00CE69C1">
            <w:pPr>
              <w:pStyle w:val="ListParagraph"/>
              <w:numPr>
                <w:ilvl w:val="0"/>
                <w:numId w:val="5"/>
              </w:numPr>
              <w:suppressAutoHyphens w:val="0"/>
            </w:pPr>
            <w:r w:rsidRPr="007C011A">
              <w:t>Ability to develop and monitor agreements with service users, to challenge appropr</w:t>
            </w:r>
            <w:r>
              <w:t>iately</w:t>
            </w:r>
            <w:r w:rsidRPr="007C011A">
              <w:t xml:space="preserve">, to be creative </w:t>
            </w:r>
            <w:proofErr w:type="gramStart"/>
            <w:r w:rsidRPr="007C011A">
              <w:t>in service</w:t>
            </w:r>
            <w:proofErr w:type="gramEnd"/>
            <w:r w:rsidRPr="007C011A">
              <w:t xml:space="preserve"> delivery and to influence change</w:t>
            </w:r>
          </w:p>
        </w:tc>
        <w:tc>
          <w:tcPr>
            <w:tcW w:w="1701" w:type="dxa"/>
          </w:tcPr>
          <w:p w14:paraId="388F57C2" w14:textId="77777777" w:rsidR="00C60AF9" w:rsidRPr="007C011A" w:rsidRDefault="00C60AF9" w:rsidP="00CE69C1">
            <w:r w:rsidRPr="007C011A">
              <w:t>E</w:t>
            </w:r>
          </w:p>
        </w:tc>
      </w:tr>
      <w:tr w:rsidR="00C60AF9" w:rsidRPr="007C011A" w14:paraId="388035A3" w14:textId="77777777" w:rsidTr="00CE69C1">
        <w:tc>
          <w:tcPr>
            <w:tcW w:w="7763" w:type="dxa"/>
          </w:tcPr>
          <w:p w14:paraId="5459202B" w14:textId="77777777" w:rsidR="00C60AF9" w:rsidRPr="007C011A" w:rsidRDefault="00C60AF9" w:rsidP="00CE69C1">
            <w:pPr>
              <w:pStyle w:val="ListParagraph"/>
              <w:numPr>
                <w:ilvl w:val="0"/>
                <w:numId w:val="5"/>
              </w:numPr>
              <w:suppressAutoHyphens w:val="0"/>
            </w:pPr>
            <w:r w:rsidRPr="007C011A">
              <w:t>Experience of monitoring and data collection systems</w:t>
            </w:r>
          </w:p>
        </w:tc>
        <w:tc>
          <w:tcPr>
            <w:tcW w:w="1701" w:type="dxa"/>
          </w:tcPr>
          <w:p w14:paraId="7A3403BC" w14:textId="77777777" w:rsidR="00C60AF9" w:rsidRPr="007C011A" w:rsidRDefault="00C60AF9" w:rsidP="00CE69C1">
            <w:r w:rsidRPr="007C011A">
              <w:t>E</w:t>
            </w:r>
          </w:p>
        </w:tc>
      </w:tr>
      <w:tr w:rsidR="00C60AF9" w:rsidRPr="007C011A" w14:paraId="42516B5F" w14:textId="77777777" w:rsidTr="00CE69C1">
        <w:tc>
          <w:tcPr>
            <w:tcW w:w="7763" w:type="dxa"/>
          </w:tcPr>
          <w:p w14:paraId="29968F40" w14:textId="50611BD6" w:rsidR="00C60AF9" w:rsidRPr="007C011A" w:rsidRDefault="00C60AF9" w:rsidP="00CE69C1">
            <w:pPr>
              <w:pStyle w:val="ListParagraph"/>
              <w:numPr>
                <w:ilvl w:val="0"/>
                <w:numId w:val="5"/>
              </w:numPr>
              <w:suppressAutoHyphens w:val="0"/>
            </w:pPr>
            <w:r w:rsidRPr="007C011A">
              <w:t>Experience of working with clients in</w:t>
            </w:r>
            <w:r w:rsidR="000B4EA7">
              <w:t xml:space="preserve"> one</w:t>
            </w:r>
            <w:r w:rsidR="00F905E0">
              <w:t>-</w:t>
            </w:r>
            <w:r w:rsidR="000B4EA7">
              <w:t>to</w:t>
            </w:r>
            <w:r w:rsidR="00F905E0">
              <w:t>-</w:t>
            </w:r>
            <w:r w:rsidR="000B4EA7">
              <w:t>one</w:t>
            </w:r>
            <w:r>
              <w:t xml:space="preserve"> settings</w:t>
            </w:r>
          </w:p>
        </w:tc>
        <w:tc>
          <w:tcPr>
            <w:tcW w:w="1701" w:type="dxa"/>
          </w:tcPr>
          <w:p w14:paraId="10024659" w14:textId="77777777" w:rsidR="00C60AF9" w:rsidRPr="007C011A" w:rsidRDefault="00C60AF9" w:rsidP="00CE69C1">
            <w:r w:rsidRPr="007C011A">
              <w:t>E</w:t>
            </w:r>
          </w:p>
        </w:tc>
      </w:tr>
      <w:tr w:rsidR="00C60AF9" w:rsidRPr="007C011A" w14:paraId="177F48FD" w14:textId="77777777" w:rsidTr="00CE69C1">
        <w:tc>
          <w:tcPr>
            <w:tcW w:w="7763" w:type="dxa"/>
          </w:tcPr>
          <w:p w14:paraId="4890E757" w14:textId="77777777" w:rsidR="00C60AF9" w:rsidRPr="007C011A" w:rsidRDefault="00C60AF9" w:rsidP="00CE69C1">
            <w:pPr>
              <w:pStyle w:val="ListParagraph"/>
              <w:numPr>
                <w:ilvl w:val="0"/>
                <w:numId w:val="5"/>
              </w:numPr>
              <w:suppressAutoHyphens w:val="0"/>
            </w:pPr>
            <w:r>
              <w:t>Experience of working with partner agencies</w:t>
            </w:r>
          </w:p>
        </w:tc>
        <w:tc>
          <w:tcPr>
            <w:tcW w:w="1701" w:type="dxa"/>
          </w:tcPr>
          <w:p w14:paraId="7A07C78C" w14:textId="77777777" w:rsidR="00C60AF9" w:rsidRPr="007C011A" w:rsidRDefault="00C60AF9" w:rsidP="00CE69C1">
            <w:r>
              <w:t>E</w:t>
            </w:r>
          </w:p>
        </w:tc>
      </w:tr>
      <w:tr w:rsidR="00C60AF9" w:rsidRPr="007C011A" w14:paraId="16C3259B" w14:textId="77777777" w:rsidTr="00CE69C1">
        <w:tc>
          <w:tcPr>
            <w:tcW w:w="7763" w:type="dxa"/>
          </w:tcPr>
          <w:p w14:paraId="091FC098" w14:textId="77777777" w:rsidR="00C60AF9" w:rsidRPr="007C011A" w:rsidRDefault="00C60AF9" w:rsidP="00CE69C1">
            <w:pPr>
              <w:rPr>
                <w:b/>
              </w:rPr>
            </w:pPr>
            <w:r w:rsidRPr="007C011A">
              <w:rPr>
                <w:b/>
              </w:rPr>
              <w:t>Knowledge</w:t>
            </w:r>
          </w:p>
        </w:tc>
        <w:tc>
          <w:tcPr>
            <w:tcW w:w="1701" w:type="dxa"/>
          </w:tcPr>
          <w:p w14:paraId="222C40EA" w14:textId="77777777" w:rsidR="00C60AF9" w:rsidRPr="007C011A" w:rsidRDefault="00C60AF9" w:rsidP="00CE69C1"/>
        </w:tc>
      </w:tr>
      <w:tr w:rsidR="00C60AF9" w:rsidRPr="007C011A" w14:paraId="5773ABA5" w14:textId="77777777" w:rsidTr="00CE69C1">
        <w:tc>
          <w:tcPr>
            <w:tcW w:w="7763" w:type="dxa"/>
          </w:tcPr>
          <w:p w14:paraId="5786618E" w14:textId="0FE7CF0C" w:rsidR="00C60AF9" w:rsidRPr="007C011A" w:rsidRDefault="00C60AF9" w:rsidP="00CE69C1">
            <w:pPr>
              <w:pStyle w:val="ListParagraph"/>
              <w:numPr>
                <w:ilvl w:val="0"/>
                <w:numId w:val="5"/>
              </w:numPr>
              <w:suppressAutoHyphens w:val="0"/>
            </w:pPr>
            <w:r>
              <w:t>Good</w:t>
            </w:r>
            <w:r w:rsidRPr="007C011A">
              <w:t xml:space="preserve"> knowledge of multiple complex needs </w:t>
            </w:r>
            <w:r w:rsidR="00F905E0">
              <w:t xml:space="preserve">(MCN) </w:t>
            </w:r>
            <w:r w:rsidRPr="007C011A">
              <w:t>facing women</w:t>
            </w:r>
            <w:r w:rsidR="002721E1">
              <w:t>,</w:t>
            </w:r>
            <w:r w:rsidRPr="007C011A">
              <w:t xml:space="preserve"> including </w:t>
            </w:r>
            <w:r w:rsidR="000B4EA7">
              <w:t xml:space="preserve">trauma and interpersonal </w:t>
            </w:r>
            <w:r w:rsidRPr="007C011A">
              <w:t xml:space="preserve">violence, mental health, accommodation, </w:t>
            </w:r>
            <w:proofErr w:type="gramStart"/>
            <w:r w:rsidRPr="007C011A">
              <w:t>finance</w:t>
            </w:r>
            <w:proofErr w:type="gramEnd"/>
            <w:r w:rsidRPr="007C011A">
              <w:t xml:space="preserve"> and drug</w:t>
            </w:r>
            <w:r w:rsidR="002721E1">
              <w:t>/</w:t>
            </w:r>
            <w:r w:rsidRPr="007C011A">
              <w:t xml:space="preserve"> alcohol use </w:t>
            </w:r>
          </w:p>
        </w:tc>
        <w:tc>
          <w:tcPr>
            <w:tcW w:w="1701" w:type="dxa"/>
          </w:tcPr>
          <w:p w14:paraId="595971E8" w14:textId="77777777" w:rsidR="00C60AF9" w:rsidRPr="007C011A" w:rsidRDefault="00C60AF9" w:rsidP="00CE69C1">
            <w:r w:rsidRPr="007C011A">
              <w:t>E</w:t>
            </w:r>
          </w:p>
        </w:tc>
      </w:tr>
      <w:tr w:rsidR="003E0B77" w:rsidRPr="007C011A" w14:paraId="0863692A" w14:textId="77777777" w:rsidTr="00CE69C1">
        <w:tc>
          <w:tcPr>
            <w:tcW w:w="7763" w:type="dxa"/>
          </w:tcPr>
          <w:p w14:paraId="3A2CE5C9" w14:textId="23088F41" w:rsidR="003E0B77" w:rsidRDefault="00136DC6" w:rsidP="00CE69C1">
            <w:pPr>
              <w:pStyle w:val="ListParagraph"/>
              <w:numPr>
                <w:ilvl w:val="0"/>
                <w:numId w:val="5"/>
              </w:numPr>
              <w:suppressAutoHyphens w:val="0"/>
            </w:pPr>
            <w:r>
              <w:t>Understanding of the needs and challenges fac</w:t>
            </w:r>
            <w:r w:rsidR="001419B6">
              <w:t>ed by</w:t>
            </w:r>
            <w:r>
              <w:t xml:space="preserve"> women </w:t>
            </w:r>
            <w:r w:rsidR="009F30DF">
              <w:t xml:space="preserve">living </w:t>
            </w:r>
            <w:r>
              <w:t xml:space="preserve">with MSK conditions, </w:t>
            </w:r>
            <w:r w:rsidR="009F30DF">
              <w:t>such as</w:t>
            </w:r>
            <w:r>
              <w:t xml:space="preserve"> chronic pain, </w:t>
            </w:r>
            <w:proofErr w:type="gramStart"/>
            <w:r w:rsidR="009F30DF">
              <w:t>fatigue</w:t>
            </w:r>
            <w:proofErr w:type="gramEnd"/>
            <w:r w:rsidR="009F30DF">
              <w:t xml:space="preserve"> and fibromyalgia. </w:t>
            </w:r>
          </w:p>
        </w:tc>
        <w:tc>
          <w:tcPr>
            <w:tcW w:w="1701" w:type="dxa"/>
          </w:tcPr>
          <w:p w14:paraId="67782D01" w14:textId="15B2390C" w:rsidR="003E0B77" w:rsidRPr="007C011A" w:rsidRDefault="001419B6" w:rsidP="00CE69C1">
            <w:r>
              <w:t>E</w:t>
            </w:r>
          </w:p>
        </w:tc>
      </w:tr>
      <w:tr w:rsidR="00C60AF9" w:rsidRPr="007C011A" w14:paraId="7EC2FC9F" w14:textId="77777777" w:rsidTr="00CE69C1">
        <w:tc>
          <w:tcPr>
            <w:tcW w:w="7763" w:type="dxa"/>
          </w:tcPr>
          <w:p w14:paraId="0B8CB508" w14:textId="77777777" w:rsidR="00C60AF9" w:rsidRPr="007C011A" w:rsidRDefault="00C60AF9" w:rsidP="00CE69C1">
            <w:pPr>
              <w:pStyle w:val="ListParagraph"/>
              <w:numPr>
                <w:ilvl w:val="0"/>
                <w:numId w:val="5"/>
              </w:numPr>
              <w:suppressAutoHyphens w:val="0"/>
            </w:pPr>
            <w:r w:rsidRPr="007C011A">
              <w:t>Thorough knowledge, understanding and commitment to equa</w:t>
            </w:r>
            <w:r>
              <w:t>lities and diversity</w:t>
            </w:r>
            <w:r w:rsidRPr="007C011A">
              <w:t xml:space="preserve"> </w:t>
            </w:r>
          </w:p>
        </w:tc>
        <w:tc>
          <w:tcPr>
            <w:tcW w:w="1701" w:type="dxa"/>
          </w:tcPr>
          <w:p w14:paraId="3009B073" w14:textId="77777777" w:rsidR="00C60AF9" w:rsidRPr="007C011A" w:rsidRDefault="00C60AF9" w:rsidP="00CE69C1">
            <w:r w:rsidRPr="007C011A">
              <w:t>E</w:t>
            </w:r>
          </w:p>
        </w:tc>
      </w:tr>
      <w:tr w:rsidR="00C60AF9" w:rsidRPr="007C011A" w14:paraId="29D9EF19" w14:textId="77777777" w:rsidTr="00CE69C1">
        <w:tc>
          <w:tcPr>
            <w:tcW w:w="7763" w:type="dxa"/>
          </w:tcPr>
          <w:p w14:paraId="19625F98" w14:textId="0C8D8AD8" w:rsidR="00C60AF9" w:rsidRPr="007C011A" w:rsidRDefault="00C60AF9" w:rsidP="00CE69C1">
            <w:pPr>
              <w:pStyle w:val="ListParagraph"/>
              <w:numPr>
                <w:ilvl w:val="0"/>
                <w:numId w:val="5"/>
              </w:numPr>
              <w:suppressAutoHyphens w:val="0"/>
            </w:pPr>
            <w:r w:rsidRPr="007C011A">
              <w:t xml:space="preserve">Working knowledge of therapeutic interventions.  </w:t>
            </w:r>
            <w:proofErr w:type="gramStart"/>
            <w:r w:rsidRPr="007C011A">
              <w:t>E.g</w:t>
            </w:r>
            <w:r>
              <w:t>.</w:t>
            </w:r>
            <w:proofErr w:type="gramEnd"/>
            <w:r w:rsidRPr="007C011A">
              <w:t xml:space="preserve"> motivational interviewing</w:t>
            </w:r>
            <w:r w:rsidR="001419B6">
              <w:t xml:space="preserve">, WRAP planning, </w:t>
            </w:r>
            <w:r w:rsidR="007A3A48">
              <w:t xml:space="preserve">trauma informed support, </w:t>
            </w:r>
            <w:r w:rsidR="00111DA7">
              <w:t xml:space="preserve">mindfulness, SMART goals. </w:t>
            </w:r>
          </w:p>
        </w:tc>
        <w:tc>
          <w:tcPr>
            <w:tcW w:w="1701" w:type="dxa"/>
          </w:tcPr>
          <w:p w14:paraId="6DF9F932" w14:textId="77777777" w:rsidR="00C60AF9" w:rsidRPr="007C011A" w:rsidRDefault="00C60AF9" w:rsidP="00CE69C1">
            <w:r w:rsidRPr="007C011A">
              <w:t>D</w:t>
            </w:r>
          </w:p>
        </w:tc>
      </w:tr>
      <w:tr w:rsidR="00C60AF9" w:rsidRPr="007C011A" w14:paraId="0C9964AA" w14:textId="77777777" w:rsidTr="00CE69C1">
        <w:tc>
          <w:tcPr>
            <w:tcW w:w="7763" w:type="dxa"/>
          </w:tcPr>
          <w:p w14:paraId="28B65658" w14:textId="77777777" w:rsidR="00C60AF9" w:rsidRPr="007C011A" w:rsidRDefault="00C60AF9" w:rsidP="00CE69C1">
            <w:pPr>
              <w:rPr>
                <w:b/>
              </w:rPr>
            </w:pPr>
            <w:r w:rsidRPr="007C011A">
              <w:rPr>
                <w:b/>
              </w:rPr>
              <w:t>Skills</w:t>
            </w:r>
          </w:p>
        </w:tc>
        <w:tc>
          <w:tcPr>
            <w:tcW w:w="1701" w:type="dxa"/>
          </w:tcPr>
          <w:p w14:paraId="761B33A6" w14:textId="77777777" w:rsidR="00C60AF9" w:rsidRPr="007C011A" w:rsidRDefault="00C60AF9" w:rsidP="00CE69C1"/>
        </w:tc>
      </w:tr>
      <w:tr w:rsidR="00C60AF9" w:rsidRPr="007C011A" w14:paraId="47225353" w14:textId="77777777" w:rsidTr="00CE69C1">
        <w:tc>
          <w:tcPr>
            <w:tcW w:w="7763" w:type="dxa"/>
          </w:tcPr>
          <w:p w14:paraId="73B77CE3" w14:textId="77777777" w:rsidR="00C60AF9" w:rsidRPr="007C011A" w:rsidRDefault="00C60AF9" w:rsidP="00CE69C1">
            <w:pPr>
              <w:pStyle w:val="ListParagraph"/>
              <w:numPr>
                <w:ilvl w:val="0"/>
                <w:numId w:val="5"/>
              </w:numPr>
              <w:suppressAutoHyphens w:val="0"/>
            </w:pPr>
            <w:r w:rsidRPr="007C011A">
              <w:t>Ability to understand, empathise and uphold BWC aims, principles and policies</w:t>
            </w:r>
          </w:p>
        </w:tc>
        <w:tc>
          <w:tcPr>
            <w:tcW w:w="1701" w:type="dxa"/>
          </w:tcPr>
          <w:p w14:paraId="613EF3F8" w14:textId="77777777" w:rsidR="00C60AF9" w:rsidRPr="007C011A" w:rsidRDefault="00C60AF9" w:rsidP="00CE69C1">
            <w:r w:rsidRPr="007C011A">
              <w:t>E</w:t>
            </w:r>
          </w:p>
        </w:tc>
      </w:tr>
      <w:tr w:rsidR="00C60AF9" w:rsidRPr="007C011A" w14:paraId="6CC380FA" w14:textId="77777777" w:rsidTr="00CE69C1">
        <w:tc>
          <w:tcPr>
            <w:tcW w:w="7763" w:type="dxa"/>
          </w:tcPr>
          <w:p w14:paraId="0AE37604" w14:textId="77777777" w:rsidR="00C60AF9" w:rsidRPr="007C011A" w:rsidRDefault="00C60AF9" w:rsidP="00CE69C1">
            <w:pPr>
              <w:pStyle w:val="ListParagraph"/>
              <w:numPr>
                <w:ilvl w:val="0"/>
                <w:numId w:val="5"/>
              </w:numPr>
              <w:suppressAutoHyphens w:val="0"/>
            </w:pPr>
            <w:r w:rsidRPr="007C011A">
              <w:t xml:space="preserve">Experience of adhering to organisational policies with </w:t>
            </w:r>
            <w:proofErr w:type="gramStart"/>
            <w:r w:rsidRPr="007C011A">
              <w:t>particular regard</w:t>
            </w:r>
            <w:proofErr w:type="gramEnd"/>
            <w:r w:rsidRPr="007C011A">
              <w:t xml:space="preserve"> to child and adult safeguarding </w:t>
            </w:r>
          </w:p>
        </w:tc>
        <w:tc>
          <w:tcPr>
            <w:tcW w:w="1701" w:type="dxa"/>
          </w:tcPr>
          <w:p w14:paraId="53332948" w14:textId="77777777" w:rsidR="00C60AF9" w:rsidRPr="007C011A" w:rsidRDefault="00C60AF9" w:rsidP="00CE69C1">
            <w:r w:rsidRPr="007C011A">
              <w:t>E</w:t>
            </w:r>
          </w:p>
        </w:tc>
      </w:tr>
      <w:tr w:rsidR="00C60AF9" w:rsidRPr="007C011A" w14:paraId="36507AC2" w14:textId="77777777" w:rsidTr="00CE69C1">
        <w:tc>
          <w:tcPr>
            <w:tcW w:w="7763" w:type="dxa"/>
          </w:tcPr>
          <w:p w14:paraId="2337DE26" w14:textId="77777777" w:rsidR="00C60AF9" w:rsidRPr="007C011A" w:rsidRDefault="00C60AF9" w:rsidP="00CE69C1">
            <w:pPr>
              <w:pStyle w:val="ListParagraph"/>
              <w:numPr>
                <w:ilvl w:val="0"/>
                <w:numId w:val="5"/>
              </w:numPr>
              <w:suppressAutoHyphens w:val="0"/>
            </w:pPr>
            <w:r w:rsidRPr="007C011A">
              <w:t>Ability to engage with clients who may find it hard to engage with services</w:t>
            </w:r>
          </w:p>
        </w:tc>
        <w:tc>
          <w:tcPr>
            <w:tcW w:w="1701" w:type="dxa"/>
          </w:tcPr>
          <w:p w14:paraId="31521DDD" w14:textId="77777777" w:rsidR="00C60AF9" w:rsidRPr="007C011A" w:rsidRDefault="00C60AF9" w:rsidP="00CE69C1">
            <w:r w:rsidRPr="007C011A">
              <w:t>E</w:t>
            </w:r>
          </w:p>
        </w:tc>
      </w:tr>
      <w:tr w:rsidR="00C60AF9" w:rsidRPr="007C011A" w14:paraId="1FAA1FFE" w14:textId="77777777" w:rsidTr="00CE69C1">
        <w:tc>
          <w:tcPr>
            <w:tcW w:w="7763" w:type="dxa"/>
          </w:tcPr>
          <w:p w14:paraId="4882254A" w14:textId="77777777" w:rsidR="00C60AF9" w:rsidRPr="007C011A" w:rsidRDefault="00C60AF9" w:rsidP="00CE69C1">
            <w:pPr>
              <w:pStyle w:val="ListParagraph"/>
              <w:numPr>
                <w:ilvl w:val="0"/>
                <w:numId w:val="5"/>
              </w:numPr>
              <w:suppressAutoHyphens w:val="0"/>
            </w:pPr>
            <w:r w:rsidRPr="007C011A">
              <w:t>Strong crisis management skills and ability to cope in stressful situations, including ability to manage difficult and challenging behaviour and apply de-escalation techniques</w:t>
            </w:r>
          </w:p>
        </w:tc>
        <w:tc>
          <w:tcPr>
            <w:tcW w:w="1701" w:type="dxa"/>
          </w:tcPr>
          <w:p w14:paraId="43DD664B" w14:textId="77777777" w:rsidR="00C60AF9" w:rsidRPr="007C011A" w:rsidRDefault="00C60AF9" w:rsidP="00CE69C1">
            <w:r w:rsidRPr="007C011A">
              <w:t>E</w:t>
            </w:r>
          </w:p>
        </w:tc>
      </w:tr>
      <w:tr w:rsidR="00C60AF9" w:rsidRPr="007C011A" w14:paraId="1A55D73F" w14:textId="77777777" w:rsidTr="00CE69C1">
        <w:tc>
          <w:tcPr>
            <w:tcW w:w="7763" w:type="dxa"/>
          </w:tcPr>
          <w:p w14:paraId="5C9A1775" w14:textId="77777777" w:rsidR="00C60AF9" w:rsidRPr="007C011A" w:rsidRDefault="00C60AF9" w:rsidP="00CE69C1">
            <w:pPr>
              <w:pStyle w:val="ListParagraph"/>
              <w:numPr>
                <w:ilvl w:val="0"/>
                <w:numId w:val="5"/>
              </w:numPr>
              <w:suppressAutoHyphens w:val="0"/>
            </w:pPr>
            <w:r w:rsidRPr="007C011A">
              <w:t xml:space="preserve">Ability to communicate with and develop and maintain constructive working relationships with a wide range of people using excellent interpersonal and communication skills </w:t>
            </w:r>
          </w:p>
        </w:tc>
        <w:tc>
          <w:tcPr>
            <w:tcW w:w="1701" w:type="dxa"/>
          </w:tcPr>
          <w:p w14:paraId="1E82C896" w14:textId="77777777" w:rsidR="00C60AF9" w:rsidRPr="007C011A" w:rsidRDefault="00C60AF9" w:rsidP="00CE69C1">
            <w:r w:rsidRPr="007C011A">
              <w:t>E</w:t>
            </w:r>
          </w:p>
        </w:tc>
      </w:tr>
      <w:tr w:rsidR="00C60AF9" w:rsidRPr="007C011A" w14:paraId="1C7D7CE5" w14:textId="77777777" w:rsidTr="00CE69C1">
        <w:tc>
          <w:tcPr>
            <w:tcW w:w="7763" w:type="dxa"/>
          </w:tcPr>
          <w:p w14:paraId="6A2F3A91" w14:textId="77777777" w:rsidR="00C60AF9" w:rsidRPr="007C011A" w:rsidRDefault="00C60AF9" w:rsidP="00CE69C1">
            <w:pPr>
              <w:pStyle w:val="ListParagraph"/>
              <w:numPr>
                <w:ilvl w:val="0"/>
                <w:numId w:val="5"/>
              </w:numPr>
              <w:suppressAutoHyphens w:val="0"/>
            </w:pPr>
            <w:r w:rsidRPr="007C011A">
              <w:t xml:space="preserve">Commitment </w:t>
            </w:r>
            <w:r>
              <w:t xml:space="preserve">to </w:t>
            </w:r>
            <w:r w:rsidRPr="007C011A">
              <w:t>extending professional competence, including ability to reflect on practice and make good use of managerial and clinical supervision</w:t>
            </w:r>
          </w:p>
        </w:tc>
        <w:tc>
          <w:tcPr>
            <w:tcW w:w="1701" w:type="dxa"/>
          </w:tcPr>
          <w:p w14:paraId="30E6ACBC" w14:textId="77777777" w:rsidR="00C60AF9" w:rsidRPr="007C011A" w:rsidRDefault="00C60AF9" w:rsidP="00CE69C1">
            <w:r w:rsidRPr="007C011A">
              <w:t>E</w:t>
            </w:r>
          </w:p>
        </w:tc>
      </w:tr>
      <w:tr w:rsidR="00C60AF9" w:rsidRPr="007C011A" w14:paraId="72473016" w14:textId="77777777" w:rsidTr="00CE69C1">
        <w:tc>
          <w:tcPr>
            <w:tcW w:w="7763" w:type="dxa"/>
          </w:tcPr>
          <w:p w14:paraId="152D1371" w14:textId="77777777" w:rsidR="00C60AF9" w:rsidRPr="007C011A" w:rsidRDefault="00C60AF9" w:rsidP="00CE69C1">
            <w:pPr>
              <w:pStyle w:val="ListParagraph"/>
              <w:numPr>
                <w:ilvl w:val="0"/>
                <w:numId w:val="5"/>
              </w:numPr>
              <w:suppressAutoHyphens w:val="0"/>
            </w:pPr>
            <w:r w:rsidRPr="007C011A">
              <w:t>Good computer literacy and administrative skills</w:t>
            </w:r>
          </w:p>
        </w:tc>
        <w:tc>
          <w:tcPr>
            <w:tcW w:w="1701" w:type="dxa"/>
          </w:tcPr>
          <w:p w14:paraId="7D4F9D01" w14:textId="77777777" w:rsidR="00C60AF9" w:rsidRPr="007C011A" w:rsidRDefault="00C60AF9" w:rsidP="00CE69C1">
            <w:r w:rsidRPr="007C011A">
              <w:t>E</w:t>
            </w:r>
          </w:p>
        </w:tc>
      </w:tr>
    </w:tbl>
    <w:p w14:paraId="300CBE98" w14:textId="77777777" w:rsidR="00C60AF9" w:rsidRPr="007C011A" w:rsidRDefault="00C60AF9" w:rsidP="00C60AF9"/>
    <w:p w14:paraId="73F897C5" w14:textId="77777777" w:rsidR="00C60AF9" w:rsidRPr="007C011A" w:rsidRDefault="00C60AF9" w:rsidP="00C60AF9">
      <w:r w:rsidRPr="007C011A">
        <w:t>E= Essential criteria</w:t>
      </w:r>
    </w:p>
    <w:p w14:paraId="22E35681" w14:textId="77777777" w:rsidR="00C60AF9" w:rsidRDefault="00C60AF9" w:rsidP="00C60AF9">
      <w:r w:rsidRPr="007C011A">
        <w:t>D=Desirable criteria</w:t>
      </w:r>
    </w:p>
    <w:p w14:paraId="3CDEB45E" w14:textId="77777777" w:rsidR="004A2A6F" w:rsidRDefault="004A2A6F" w:rsidP="00C60AF9">
      <w:pPr>
        <w:spacing w:before="280" w:after="280"/>
      </w:pPr>
    </w:p>
    <w:p w14:paraId="5EA31BA6" w14:textId="77777777" w:rsidR="00456194" w:rsidRDefault="00456194" w:rsidP="00C60AF9">
      <w:pPr>
        <w:spacing w:before="280" w:after="280"/>
        <w:rPr>
          <w:b/>
          <w:bCs/>
        </w:rPr>
      </w:pPr>
    </w:p>
    <w:p w14:paraId="3E5B17F1" w14:textId="62D9F544" w:rsidR="00C60AF9" w:rsidRDefault="00C60AF9" w:rsidP="00C60AF9">
      <w:pPr>
        <w:spacing w:before="280" w:after="280"/>
        <w:rPr>
          <w:b/>
          <w:bCs/>
        </w:rPr>
      </w:pPr>
      <w:r>
        <w:rPr>
          <w:b/>
          <w:bCs/>
        </w:rPr>
        <w:lastRenderedPageBreak/>
        <w:t xml:space="preserve">About BWC: </w:t>
      </w:r>
    </w:p>
    <w:p w14:paraId="47B23C23" w14:textId="75E43AB1" w:rsidR="00C60AF9" w:rsidRDefault="00C60AF9" w:rsidP="00C60AF9">
      <w:pPr>
        <w:spacing w:before="280" w:after="280"/>
      </w:pPr>
      <w:r>
        <w:t>BWC delivers women centred services.  We recognise that the women we support have complex and interrelated needs</w:t>
      </w:r>
      <w:r w:rsidR="004A2A6F">
        <w:t>,</w:t>
      </w:r>
      <w:r>
        <w:t xml:space="preserve"> with high incidences of trauma and abuse.  We recognise women are the experts of their experience and ensure our services </w:t>
      </w:r>
      <w:r w:rsidR="000B4EA7">
        <w:t xml:space="preserve">are co-produced and </w:t>
      </w:r>
      <w:r>
        <w:t xml:space="preserve">are based on what women tell us they need.  Our approach is relational, </w:t>
      </w:r>
      <w:proofErr w:type="gramStart"/>
      <w:r>
        <w:t>holistic</w:t>
      </w:r>
      <w:proofErr w:type="gramEnd"/>
      <w:r>
        <w:t xml:space="preserve"> and practical and takes account of the complexity of women’s circumstances, background and experiences</w:t>
      </w:r>
    </w:p>
    <w:p w14:paraId="1BB9DE6A" w14:textId="28E5E1F2" w:rsidR="00C60AF9" w:rsidRDefault="00C60AF9" w:rsidP="00C60AF9">
      <w:pPr>
        <w:spacing w:before="280" w:after="280"/>
      </w:pPr>
      <w:r>
        <w:t>BWC have been delivering services to women for</w:t>
      </w:r>
      <w:r w:rsidR="004A2A6F">
        <w:t xml:space="preserve"> over</w:t>
      </w:r>
      <w:r>
        <w:t xml:space="preserve"> </w:t>
      </w:r>
      <w:proofErr w:type="gramStart"/>
      <w:r>
        <w:t>forty five</w:t>
      </w:r>
      <w:proofErr w:type="gramEnd"/>
      <w:r>
        <w:t xml:space="preserve"> years. We have extensive understanding of supporting women with multiple and complex needs to become empowered to turn their lives around: Leading the award</w:t>
      </w:r>
      <w:r w:rsidR="00E456D6">
        <w:t>-</w:t>
      </w:r>
      <w:r>
        <w:t xml:space="preserve">winning Inspire project for women in the Criminal Justice System since 2009 and the Women’s Accommodation Support Service </w:t>
      </w:r>
      <w:r w:rsidR="00E456D6">
        <w:t xml:space="preserve">(WASS) </w:t>
      </w:r>
      <w:r>
        <w:t xml:space="preserve">since 2015. </w:t>
      </w:r>
    </w:p>
    <w:p w14:paraId="449637DD" w14:textId="77777777" w:rsidR="00C60AF9" w:rsidRDefault="00C60AF9" w:rsidP="00C60AF9">
      <w:pPr>
        <w:spacing w:before="280" w:after="280"/>
      </w:pPr>
      <w:r>
        <w:t xml:space="preserve">BWC are part of a national network of women’s centres and gender responsive providers committed to identifying best practice in ensuring women and girls with complex needs can access the right support in the right place at the right time. </w:t>
      </w:r>
    </w:p>
    <w:p w14:paraId="51E9EB55" w14:textId="1619BE35" w:rsidR="00C60AF9" w:rsidRDefault="00C60AF9" w:rsidP="00C60AF9">
      <w:pPr>
        <w:spacing w:before="280" w:after="280"/>
      </w:pPr>
      <w:r>
        <w:t>BWC works in partnership with a variety of other organisations both statutory and voluntary</w:t>
      </w:r>
      <w:r w:rsidR="00E456D6">
        <w:t>.</w:t>
      </w:r>
    </w:p>
    <w:p w14:paraId="15F5F1C0" w14:textId="77777777" w:rsidR="00C60AF9" w:rsidRDefault="00C60AF9" w:rsidP="00C60AF9">
      <w:pPr>
        <w:spacing w:before="280" w:after="280"/>
      </w:pPr>
    </w:p>
    <w:p w14:paraId="17480C5F" w14:textId="77777777" w:rsidR="00C60AF9" w:rsidRDefault="00C60AF9" w:rsidP="00C60AF9"/>
    <w:p w14:paraId="420F6623" w14:textId="77777777" w:rsidR="00850275" w:rsidRDefault="00000000"/>
    <w:sectPr w:rsidR="0085027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6C08" w14:textId="77777777" w:rsidR="00883C41" w:rsidRDefault="00883C41" w:rsidP="00191BAB">
      <w:r>
        <w:separator/>
      </w:r>
    </w:p>
  </w:endnote>
  <w:endnote w:type="continuationSeparator" w:id="0">
    <w:p w14:paraId="0C843299" w14:textId="77777777" w:rsidR="00883C41" w:rsidRDefault="00883C41" w:rsidP="0019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E97" w14:textId="061A4384" w:rsidR="00905A5C" w:rsidRDefault="00F426E9">
    <w:pPr>
      <w:pStyle w:val="Footer"/>
    </w:pPr>
    <w:r w:rsidRPr="00905A5C">
      <w:rPr>
        <w:noProof/>
        <w:color w:val="5B9BD5" w:themeColor="accent1"/>
        <w:sz w:val="16"/>
        <w:szCs w:val="16"/>
        <w:lang w:eastAsia="en-GB"/>
      </w:rPr>
      <mc:AlternateContent>
        <mc:Choice Requires="wps">
          <w:drawing>
            <wp:anchor distT="0" distB="0" distL="114300" distR="114300" simplePos="0" relativeHeight="251659264" behindDoc="0" locked="0" layoutInCell="1" allowOverlap="1" wp14:anchorId="198DB242" wp14:editId="6BFC463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93358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191BAB">
      <w:rPr>
        <w:color w:val="5B9BD5" w:themeColor="accent1"/>
        <w:sz w:val="16"/>
        <w:szCs w:val="16"/>
      </w:rPr>
      <w:t>West</w:t>
    </w:r>
    <w:r>
      <w:rPr>
        <w:color w:val="5B9BD5" w:themeColor="accent1"/>
        <w:sz w:val="16"/>
        <w:szCs w:val="16"/>
      </w:rPr>
      <w:t xml:space="preserve"> Sussex </w:t>
    </w:r>
    <w:r w:rsidR="00191BAB">
      <w:rPr>
        <w:color w:val="5B9BD5" w:themeColor="accent1"/>
        <w:sz w:val="16"/>
        <w:szCs w:val="16"/>
      </w:rPr>
      <w:t>Inspire Engagement Support Officer</w:t>
    </w:r>
    <w:r w:rsidRPr="00905A5C">
      <w:rPr>
        <w:color w:val="5B9BD5" w:themeColor="accent1"/>
        <w:sz w:val="16"/>
        <w:szCs w:val="16"/>
      </w:rPr>
      <w:t xml:space="preserve"> JD and PS</w: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B8541F" w:rsidRPr="00B8541F">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0870" w14:textId="77777777" w:rsidR="00883C41" w:rsidRDefault="00883C41" w:rsidP="00191BAB">
      <w:r>
        <w:separator/>
      </w:r>
    </w:p>
  </w:footnote>
  <w:footnote w:type="continuationSeparator" w:id="0">
    <w:p w14:paraId="2C8DAC21" w14:textId="77777777" w:rsidR="00883C41" w:rsidRDefault="00883C41" w:rsidP="0019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4AA03D2"/>
    <w:name w:val="WW8Num2"/>
    <w:lvl w:ilvl="0">
      <w:start w:val="1"/>
      <w:numFmt w:val="decimal"/>
      <w:lvlText w:val="%1."/>
      <w:lvlJc w:val="left"/>
      <w:pPr>
        <w:tabs>
          <w:tab w:val="num" w:pos="786"/>
        </w:tabs>
        <w:ind w:left="786" w:hanging="360"/>
      </w:pPr>
      <w:rPr>
        <w:rFonts w:ascii="Arial" w:eastAsia="Times New Roman" w:hAnsi="Arial" w:cs="Arial"/>
      </w:rPr>
    </w:lvl>
  </w:abstractNum>
  <w:abstractNum w:abstractNumId="1" w15:restartNumberingAfterBreak="0">
    <w:nsid w:val="02551FBF"/>
    <w:multiLevelType w:val="hybridMultilevel"/>
    <w:tmpl w:val="4418D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081E"/>
    <w:multiLevelType w:val="hybridMultilevel"/>
    <w:tmpl w:val="C1740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A4760"/>
    <w:multiLevelType w:val="hybridMultilevel"/>
    <w:tmpl w:val="C9AC6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B9C6FA3"/>
    <w:multiLevelType w:val="hybridMultilevel"/>
    <w:tmpl w:val="7C869208"/>
    <w:lvl w:ilvl="0" w:tplc="D4D0C2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31605"/>
    <w:multiLevelType w:val="hybridMultilevel"/>
    <w:tmpl w:val="11568DFA"/>
    <w:lvl w:ilvl="0" w:tplc="35D2225C">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121333">
    <w:abstractNumId w:val="0"/>
  </w:num>
  <w:num w:numId="2" w16cid:durableId="2107336405">
    <w:abstractNumId w:val="5"/>
  </w:num>
  <w:num w:numId="3" w16cid:durableId="290787013">
    <w:abstractNumId w:val="2"/>
  </w:num>
  <w:num w:numId="4" w16cid:durableId="2143887267">
    <w:abstractNumId w:val="4"/>
  </w:num>
  <w:num w:numId="5" w16cid:durableId="1026563525">
    <w:abstractNumId w:val="1"/>
  </w:num>
  <w:num w:numId="6" w16cid:durableId="1399669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F9"/>
    <w:rsid w:val="0001330B"/>
    <w:rsid w:val="00057D86"/>
    <w:rsid w:val="000716DD"/>
    <w:rsid w:val="00086F2C"/>
    <w:rsid w:val="000877A0"/>
    <w:rsid w:val="000B4EA7"/>
    <w:rsid w:val="000C5E8C"/>
    <w:rsid w:val="000E4F00"/>
    <w:rsid w:val="001066A7"/>
    <w:rsid w:val="00111DA7"/>
    <w:rsid w:val="001169D9"/>
    <w:rsid w:val="00136DC6"/>
    <w:rsid w:val="001419B6"/>
    <w:rsid w:val="0014584E"/>
    <w:rsid w:val="001821C3"/>
    <w:rsid w:val="00191BAB"/>
    <w:rsid w:val="001B24C6"/>
    <w:rsid w:val="001C0345"/>
    <w:rsid w:val="001D2ED9"/>
    <w:rsid w:val="001F614C"/>
    <w:rsid w:val="0025082B"/>
    <w:rsid w:val="002650C7"/>
    <w:rsid w:val="002721E1"/>
    <w:rsid w:val="002C5167"/>
    <w:rsid w:val="002D0FE6"/>
    <w:rsid w:val="002D6287"/>
    <w:rsid w:val="00307A68"/>
    <w:rsid w:val="00374AAC"/>
    <w:rsid w:val="00376519"/>
    <w:rsid w:val="003B577C"/>
    <w:rsid w:val="003B6C58"/>
    <w:rsid w:val="003E0B77"/>
    <w:rsid w:val="003E64DE"/>
    <w:rsid w:val="00456194"/>
    <w:rsid w:val="00484344"/>
    <w:rsid w:val="00487D6A"/>
    <w:rsid w:val="004960E1"/>
    <w:rsid w:val="00497A75"/>
    <w:rsid w:val="004A28C4"/>
    <w:rsid w:val="004A2A6F"/>
    <w:rsid w:val="004C5050"/>
    <w:rsid w:val="004E6A1E"/>
    <w:rsid w:val="004F0B9C"/>
    <w:rsid w:val="005C60E0"/>
    <w:rsid w:val="005F745E"/>
    <w:rsid w:val="00607BEA"/>
    <w:rsid w:val="00632D80"/>
    <w:rsid w:val="00653ED2"/>
    <w:rsid w:val="006753E6"/>
    <w:rsid w:val="006B53CE"/>
    <w:rsid w:val="006C5423"/>
    <w:rsid w:val="006D6F83"/>
    <w:rsid w:val="007324A0"/>
    <w:rsid w:val="00736BCB"/>
    <w:rsid w:val="007519F1"/>
    <w:rsid w:val="007A3A48"/>
    <w:rsid w:val="007A6C1F"/>
    <w:rsid w:val="007C3B09"/>
    <w:rsid w:val="00811F06"/>
    <w:rsid w:val="00872B2D"/>
    <w:rsid w:val="00883C41"/>
    <w:rsid w:val="008F697C"/>
    <w:rsid w:val="00916526"/>
    <w:rsid w:val="00927D64"/>
    <w:rsid w:val="00993AE7"/>
    <w:rsid w:val="009C2A68"/>
    <w:rsid w:val="009E06E8"/>
    <w:rsid w:val="009F30DF"/>
    <w:rsid w:val="00A178E3"/>
    <w:rsid w:val="00A4299A"/>
    <w:rsid w:val="00A443AD"/>
    <w:rsid w:val="00A51B21"/>
    <w:rsid w:val="00A64A43"/>
    <w:rsid w:val="00A82563"/>
    <w:rsid w:val="00AD65B5"/>
    <w:rsid w:val="00B23046"/>
    <w:rsid w:val="00B46DE0"/>
    <w:rsid w:val="00B47B10"/>
    <w:rsid w:val="00B7614D"/>
    <w:rsid w:val="00B8541F"/>
    <w:rsid w:val="00BC09BF"/>
    <w:rsid w:val="00BF3334"/>
    <w:rsid w:val="00C60AF9"/>
    <w:rsid w:val="00CA4C58"/>
    <w:rsid w:val="00CA5D9F"/>
    <w:rsid w:val="00CD4AD8"/>
    <w:rsid w:val="00CE5423"/>
    <w:rsid w:val="00CF3465"/>
    <w:rsid w:val="00CF681B"/>
    <w:rsid w:val="00D01990"/>
    <w:rsid w:val="00D04517"/>
    <w:rsid w:val="00D44AEE"/>
    <w:rsid w:val="00D51E33"/>
    <w:rsid w:val="00D66C3A"/>
    <w:rsid w:val="00D8520A"/>
    <w:rsid w:val="00DA4F31"/>
    <w:rsid w:val="00DC4EFD"/>
    <w:rsid w:val="00DC6720"/>
    <w:rsid w:val="00DD24AD"/>
    <w:rsid w:val="00DE7CCD"/>
    <w:rsid w:val="00E2724D"/>
    <w:rsid w:val="00E456D6"/>
    <w:rsid w:val="00E61697"/>
    <w:rsid w:val="00E833B3"/>
    <w:rsid w:val="00E847E7"/>
    <w:rsid w:val="00E84920"/>
    <w:rsid w:val="00EA7CC5"/>
    <w:rsid w:val="00F03A82"/>
    <w:rsid w:val="00F426E9"/>
    <w:rsid w:val="00F74485"/>
    <w:rsid w:val="00F9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0E1C"/>
  <w15:chartTrackingRefBased/>
  <w15:docId w15:val="{77FE2E58-55BB-4881-82BA-DA7831DF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E33"/>
    <w:pPr>
      <w:suppressAutoHyphens/>
      <w:spacing w:after="0" w:line="240" w:lineRule="auto"/>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AF9"/>
    <w:pPr>
      <w:ind w:left="720"/>
      <w:contextualSpacing/>
    </w:pPr>
  </w:style>
  <w:style w:type="paragraph" w:customStyle="1" w:styleId="BodyText1">
    <w:name w:val="Body Text1"/>
    <w:basedOn w:val="Normal"/>
    <w:rsid w:val="00C60AF9"/>
    <w:pPr>
      <w:suppressAutoHyphens w:val="0"/>
      <w:jc w:val="center"/>
    </w:pPr>
    <w:rPr>
      <w:rFonts w:ascii="Times New Roman Bold" w:eastAsiaTheme="minorHAnsi" w:hAnsi="Times New Roman Bold" w:cs="Times New Roman"/>
      <w:color w:val="000000"/>
      <w:sz w:val="28"/>
      <w:szCs w:val="28"/>
      <w:lang w:eastAsia="en-GB"/>
    </w:rPr>
  </w:style>
  <w:style w:type="table" w:styleId="TableGrid">
    <w:name w:val="Table Grid"/>
    <w:basedOn w:val="TableNormal"/>
    <w:uiPriority w:val="59"/>
    <w:rsid w:val="00C6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60AF9"/>
    <w:rPr>
      <w:rFonts w:ascii="Arial" w:eastAsia="Times New Roman" w:hAnsi="Arial" w:cs="Arial"/>
      <w:sz w:val="24"/>
      <w:szCs w:val="24"/>
      <w:lang w:eastAsia="ar-SA"/>
    </w:rPr>
  </w:style>
  <w:style w:type="paragraph" w:styleId="Footer">
    <w:name w:val="footer"/>
    <w:basedOn w:val="Normal"/>
    <w:link w:val="FooterChar"/>
    <w:uiPriority w:val="99"/>
    <w:unhideWhenUsed/>
    <w:rsid w:val="00C60AF9"/>
    <w:pPr>
      <w:tabs>
        <w:tab w:val="center" w:pos="4513"/>
        <w:tab w:val="right" w:pos="9026"/>
      </w:tabs>
    </w:pPr>
  </w:style>
  <w:style w:type="character" w:customStyle="1" w:styleId="FooterChar">
    <w:name w:val="Footer Char"/>
    <w:basedOn w:val="DefaultParagraphFont"/>
    <w:link w:val="Footer"/>
    <w:uiPriority w:val="99"/>
    <w:rsid w:val="00C60AF9"/>
    <w:rPr>
      <w:rFonts w:ascii="Arial" w:eastAsia="Times New Roman" w:hAnsi="Arial" w:cs="Arial"/>
      <w:sz w:val="24"/>
      <w:szCs w:val="24"/>
      <w:lang w:eastAsia="ar-SA"/>
    </w:rPr>
  </w:style>
  <w:style w:type="paragraph" w:styleId="Header">
    <w:name w:val="header"/>
    <w:basedOn w:val="Normal"/>
    <w:link w:val="HeaderChar"/>
    <w:uiPriority w:val="99"/>
    <w:unhideWhenUsed/>
    <w:rsid w:val="00191BAB"/>
    <w:pPr>
      <w:tabs>
        <w:tab w:val="center" w:pos="4513"/>
        <w:tab w:val="right" w:pos="9026"/>
      </w:tabs>
    </w:pPr>
  </w:style>
  <w:style w:type="character" w:customStyle="1" w:styleId="HeaderChar">
    <w:name w:val="Header Char"/>
    <w:basedOn w:val="DefaultParagraphFont"/>
    <w:link w:val="Header"/>
    <w:uiPriority w:val="99"/>
    <w:rsid w:val="00191BAB"/>
    <w:rPr>
      <w:rFonts w:ascii="Arial" w:eastAsia="Times New Roman" w:hAnsi="Arial" w:cs="Arial"/>
      <w:sz w:val="24"/>
      <w:szCs w:val="24"/>
      <w:lang w:eastAsia="ar-SA"/>
    </w:rPr>
  </w:style>
  <w:style w:type="paragraph" w:styleId="Revision">
    <w:name w:val="Revision"/>
    <w:hidden/>
    <w:uiPriority w:val="99"/>
    <w:semiHidden/>
    <w:rsid w:val="00872B2D"/>
    <w:pPr>
      <w:spacing w:after="0" w:line="240" w:lineRule="auto"/>
    </w:pPr>
    <w:rPr>
      <w:rFonts w:ascii="Arial" w:eastAsia="Times New Roman" w:hAnsi="Arial" w:cs="Arial"/>
      <w:sz w:val="24"/>
      <w:szCs w:val="24"/>
      <w:lang w:eastAsia="ar-SA"/>
    </w:rPr>
  </w:style>
  <w:style w:type="character" w:styleId="CommentReference">
    <w:name w:val="annotation reference"/>
    <w:basedOn w:val="DefaultParagraphFont"/>
    <w:uiPriority w:val="99"/>
    <w:semiHidden/>
    <w:unhideWhenUsed/>
    <w:rsid w:val="00872B2D"/>
    <w:rPr>
      <w:sz w:val="16"/>
      <w:szCs w:val="16"/>
    </w:rPr>
  </w:style>
  <w:style w:type="paragraph" w:styleId="CommentText">
    <w:name w:val="annotation text"/>
    <w:basedOn w:val="Normal"/>
    <w:link w:val="CommentTextChar"/>
    <w:uiPriority w:val="99"/>
    <w:semiHidden/>
    <w:unhideWhenUsed/>
    <w:rsid w:val="00872B2D"/>
    <w:rPr>
      <w:sz w:val="20"/>
      <w:szCs w:val="20"/>
    </w:rPr>
  </w:style>
  <w:style w:type="character" w:customStyle="1" w:styleId="CommentTextChar">
    <w:name w:val="Comment Text Char"/>
    <w:basedOn w:val="DefaultParagraphFont"/>
    <w:link w:val="CommentText"/>
    <w:uiPriority w:val="99"/>
    <w:semiHidden/>
    <w:rsid w:val="00872B2D"/>
    <w:rPr>
      <w:rFonts w:ascii="Arial" w:eastAsia="Times New Roman" w:hAnsi="Arial" w:cs="Arial"/>
      <w:sz w:val="20"/>
      <w:szCs w:val="20"/>
      <w:lang w:eastAsia="ar-SA"/>
    </w:rPr>
  </w:style>
  <w:style w:type="paragraph" w:styleId="CommentSubject">
    <w:name w:val="annotation subject"/>
    <w:basedOn w:val="CommentText"/>
    <w:next w:val="CommentText"/>
    <w:link w:val="CommentSubjectChar"/>
    <w:uiPriority w:val="99"/>
    <w:semiHidden/>
    <w:unhideWhenUsed/>
    <w:rsid w:val="00872B2D"/>
    <w:rPr>
      <w:b/>
      <w:bCs/>
    </w:rPr>
  </w:style>
  <w:style w:type="character" w:customStyle="1" w:styleId="CommentSubjectChar">
    <w:name w:val="Comment Subject Char"/>
    <w:basedOn w:val="CommentTextChar"/>
    <w:link w:val="CommentSubject"/>
    <w:uiPriority w:val="99"/>
    <w:semiHidden/>
    <w:rsid w:val="00872B2D"/>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6" ma:contentTypeDescription="Create a new document." ma:contentTypeScope="" ma:versionID="9dfddae1baedeb4ca544a07bb11269f3">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4c67ce6403f508a66309a6f0086e9bf0"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d70e50-0164-4b29-ac3d-c2730c52ac81">
      <Terms xmlns="http://schemas.microsoft.com/office/infopath/2007/PartnerControls"/>
    </lcf76f155ced4ddcb4097134ff3c332f>
    <TaxCatchAll xmlns="f4167d93-d537-44f3-9086-3177e1ead4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D647F-D8B6-48E8-8D34-E862616E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AE802-AA6E-4129-8BFD-6A8169774C9A}">
  <ds:schemaRefs>
    <ds:schemaRef ds:uri="http://schemas.microsoft.com/office/2006/metadata/properties"/>
    <ds:schemaRef ds:uri="http://schemas.microsoft.com/office/infopath/2007/PartnerControls"/>
    <ds:schemaRef ds:uri="a0d70e50-0164-4b29-ac3d-c2730c52ac81"/>
    <ds:schemaRef ds:uri="f4167d93-d537-44f3-9086-3177e1ead4e3"/>
  </ds:schemaRefs>
</ds:datastoreItem>
</file>

<file path=customXml/itemProps3.xml><?xml version="1.0" encoding="utf-8"?>
<ds:datastoreItem xmlns:ds="http://schemas.openxmlformats.org/officeDocument/2006/customXml" ds:itemID="{2085306B-33C4-4BDB-A3AB-2ACD91FF2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Deirdre Bruce-Brand</cp:lastModifiedBy>
  <cp:revision>6</cp:revision>
  <dcterms:created xsi:type="dcterms:W3CDTF">2022-07-19T14:11:00Z</dcterms:created>
  <dcterms:modified xsi:type="dcterms:W3CDTF">2022-07-20T15:10:00Z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MediaServiceImageTags">
    <vt:lpwstr/>
  </property>
</Properties>
</file>